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C842A" w14:textId="593E544B" w:rsidR="00616F28" w:rsidRPr="00616F28" w:rsidRDefault="0027337E" w:rsidP="00861C3D">
      <w:pPr>
        <w:pBdr>
          <w:top w:val="nil"/>
          <w:left w:val="nil"/>
          <w:bottom w:val="nil"/>
          <w:right w:val="nil"/>
          <w:between w:val="nil"/>
        </w:pBdr>
        <w:jc w:val="center"/>
        <w:rPr>
          <w:rFonts w:ascii="Bookman Old Style" w:eastAsia="Bookman Old Style" w:hAnsi="Bookman Old Style" w:cs="Bookman Old Style"/>
          <w:i/>
          <w:color w:val="000000"/>
          <w:sz w:val="22"/>
          <w:szCs w:val="22"/>
        </w:rPr>
      </w:pPr>
      <w:r w:rsidRPr="004C68F2">
        <w:rPr>
          <w:rFonts w:ascii="Bookman Old Style" w:hAnsi="Bookman Old Style" w:cs="Arial"/>
          <w:b/>
          <w:bCs/>
          <w:sz w:val="22"/>
          <w:szCs w:val="22"/>
        </w:rPr>
        <w:t xml:space="preserve">INFORME DE PONENCIA PARA PRIMER DEBATE AL PROYECTO DE LEY NÚMERO </w:t>
      </w:r>
      <w:r w:rsidR="00616F28">
        <w:rPr>
          <w:rFonts w:ascii="Bookman Old Style" w:hAnsi="Bookman Old Style" w:cs="Arial"/>
          <w:b/>
          <w:bCs/>
          <w:sz w:val="22"/>
          <w:szCs w:val="22"/>
        </w:rPr>
        <w:t xml:space="preserve">410 </w:t>
      </w:r>
      <w:r w:rsidRPr="004C68F2">
        <w:rPr>
          <w:rFonts w:ascii="Bookman Old Style" w:hAnsi="Bookman Old Style" w:cs="Arial"/>
          <w:b/>
          <w:bCs/>
          <w:sz w:val="22"/>
          <w:szCs w:val="22"/>
        </w:rPr>
        <w:t xml:space="preserve">DE 2020 CÁMARA </w:t>
      </w:r>
      <w:r w:rsidRPr="00616F28">
        <w:rPr>
          <w:rFonts w:ascii="Bookman Old Style" w:hAnsi="Bookman Old Style" w:cs="Arial"/>
          <w:sz w:val="22"/>
          <w:szCs w:val="22"/>
        </w:rPr>
        <w:t>“</w:t>
      </w:r>
      <w:r w:rsidR="00616F28" w:rsidRPr="00616F28">
        <w:rPr>
          <w:rFonts w:ascii="Bookman Old Style" w:eastAsia="Bookman Old Style" w:hAnsi="Bookman Old Style" w:cs="Bookman Old Style"/>
          <w:i/>
          <w:color w:val="000000"/>
          <w:sz w:val="22"/>
          <w:szCs w:val="22"/>
        </w:rPr>
        <w:t>Por el cual se eliminan las prácticas taurinas en el territorio nacional y se dictan otras disposiciones.</w:t>
      </w:r>
    </w:p>
    <w:p w14:paraId="44188537" w14:textId="666027A9" w:rsidR="0027337E" w:rsidRPr="00616F28" w:rsidRDefault="0027337E" w:rsidP="004C68F2">
      <w:pPr>
        <w:jc w:val="both"/>
        <w:rPr>
          <w:rFonts w:ascii="Bookman Old Style" w:hAnsi="Bookman Old Style" w:cs="Arial"/>
          <w:i/>
          <w:sz w:val="22"/>
          <w:szCs w:val="22"/>
        </w:rPr>
      </w:pPr>
    </w:p>
    <w:p w14:paraId="7BBB57BC" w14:textId="77777777" w:rsidR="0027337E" w:rsidRPr="004C68F2" w:rsidRDefault="0027337E" w:rsidP="004C68F2">
      <w:pPr>
        <w:jc w:val="center"/>
        <w:rPr>
          <w:rFonts w:ascii="Bookman Old Style" w:hAnsi="Bookman Old Style" w:cs="Arial"/>
          <w:bCs/>
          <w:sz w:val="22"/>
          <w:szCs w:val="22"/>
          <w:lang w:val="es-ES_tradnl"/>
        </w:rPr>
      </w:pPr>
    </w:p>
    <w:p w14:paraId="5D21AF72" w14:textId="77777777" w:rsidR="0027337E" w:rsidRPr="004C68F2" w:rsidRDefault="0027337E" w:rsidP="004C68F2">
      <w:pPr>
        <w:pStyle w:val="NormalWeb"/>
        <w:shd w:val="clear" w:color="auto" w:fill="FFFFFF"/>
        <w:spacing w:before="0" w:beforeAutospacing="0" w:after="0" w:afterAutospacing="0"/>
        <w:jc w:val="center"/>
        <w:rPr>
          <w:rFonts w:ascii="Bookman Old Style" w:hAnsi="Bookman Old Style" w:cs="Arial"/>
          <w:bCs/>
          <w:sz w:val="22"/>
          <w:szCs w:val="22"/>
          <w:lang w:val="es-ES_tradnl"/>
        </w:rPr>
      </w:pPr>
    </w:p>
    <w:p w14:paraId="705494D5" w14:textId="3A1D0151"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8A7299">
        <w:rPr>
          <w:rFonts w:ascii="Bookman Old Style" w:hAnsi="Bookman Old Style" w:cs="Arial"/>
          <w:bCs/>
          <w:sz w:val="22"/>
          <w:szCs w:val="22"/>
          <w:lang w:val="es-ES_tradnl"/>
        </w:rPr>
        <w:t xml:space="preserve">Bogotá D.C., </w:t>
      </w:r>
      <w:r w:rsidR="006F641F">
        <w:rPr>
          <w:rFonts w:ascii="Bookman Old Style" w:hAnsi="Bookman Old Style" w:cs="Arial"/>
          <w:bCs/>
          <w:sz w:val="22"/>
          <w:szCs w:val="22"/>
          <w:lang w:val="es-ES_tradnl"/>
        </w:rPr>
        <w:t>05</w:t>
      </w:r>
      <w:r w:rsidR="004C68F2" w:rsidRPr="008A7299">
        <w:rPr>
          <w:rFonts w:ascii="Bookman Old Style" w:hAnsi="Bookman Old Style" w:cs="Arial"/>
          <w:bCs/>
          <w:sz w:val="22"/>
          <w:szCs w:val="22"/>
          <w:lang w:val="es-ES_tradnl"/>
        </w:rPr>
        <w:t xml:space="preserve"> </w:t>
      </w:r>
      <w:r w:rsidRPr="008A7299">
        <w:rPr>
          <w:rFonts w:ascii="Bookman Old Style" w:hAnsi="Bookman Old Style" w:cs="Arial"/>
          <w:bCs/>
          <w:sz w:val="22"/>
          <w:szCs w:val="22"/>
          <w:lang w:val="es-ES_tradnl"/>
        </w:rPr>
        <w:t xml:space="preserve">de </w:t>
      </w:r>
      <w:r w:rsidR="00616F28">
        <w:rPr>
          <w:rFonts w:ascii="Bookman Old Style" w:hAnsi="Bookman Old Style" w:cs="Arial"/>
          <w:bCs/>
          <w:sz w:val="22"/>
          <w:szCs w:val="22"/>
          <w:lang w:val="es-ES_tradnl"/>
        </w:rPr>
        <w:t>octubre</w:t>
      </w:r>
      <w:r w:rsidRPr="008A7299">
        <w:rPr>
          <w:rFonts w:ascii="Bookman Old Style" w:hAnsi="Bookman Old Style" w:cs="Arial"/>
          <w:bCs/>
          <w:sz w:val="22"/>
          <w:szCs w:val="22"/>
          <w:lang w:val="es-ES_tradnl"/>
        </w:rPr>
        <w:t xml:space="preserve"> de 2020</w:t>
      </w:r>
    </w:p>
    <w:p w14:paraId="77DEA936"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340E63F2"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271D00F9"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1EBB23EE"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0C5E2247"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Honorable Representante</w:t>
      </w:r>
    </w:p>
    <w:p w14:paraId="1255B5D8"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4C68F2">
        <w:rPr>
          <w:rFonts w:ascii="Bookman Old Style" w:hAnsi="Bookman Old Style" w:cs="Arial"/>
          <w:b/>
          <w:bCs/>
          <w:sz w:val="22"/>
          <w:szCs w:val="22"/>
          <w:lang w:val="es-ES_tradnl"/>
        </w:rPr>
        <w:t>ALFREDO RAFAEL DELUQUE ZULETA</w:t>
      </w:r>
    </w:p>
    <w:p w14:paraId="7D2DCDD9"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Presidente</w:t>
      </w:r>
    </w:p>
    <w:p w14:paraId="613EE861"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lang w:val="es-ES_tradnl"/>
        </w:rPr>
      </w:pPr>
      <w:r w:rsidRPr="004C68F2">
        <w:rPr>
          <w:rFonts w:ascii="Bookman Old Style" w:hAnsi="Bookman Old Style" w:cs="Arial"/>
          <w:b/>
          <w:bCs/>
          <w:sz w:val="22"/>
          <w:szCs w:val="22"/>
          <w:lang w:val="es-ES_tradnl"/>
        </w:rPr>
        <w:t xml:space="preserve">Comisión Primera Constitucional </w:t>
      </w:r>
    </w:p>
    <w:p w14:paraId="4565B677"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Cámara de Representantes</w:t>
      </w:r>
    </w:p>
    <w:p w14:paraId="6A15DC47"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Ciudad.</w:t>
      </w:r>
    </w:p>
    <w:p w14:paraId="63B082F5"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059CD1D1" w14:textId="77777777" w:rsidR="0027337E" w:rsidRPr="004C68F2" w:rsidRDefault="0027337E" w:rsidP="004C68F2">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6C29E61C" w14:textId="77777777" w:rsidR="0027337E" w:rsidRPr="004C68F2" w:rsidRDefault="0027337E" w:rsidP="004C68F2">
      <w:pPr>
        <w:pStyle w:val="NormalWeb"/>
        <w:shd w:val="clear" w:color="auto" w:fill="FFFFFF"/>
        <w:spacing w:before="0" w:beforeAutospacing="0" w:after="0" w:afterAutospacing="0"/>
        <w:ind w:left="3969"/>
        <w:jc w:val="both"/>
        <w:rPr>
          <w:rFonts w:ascii="Bookman Old Style" w:hAnsi="Bookman Old Style" w:cs="Arial"/>
          <w:b/>
          <w:bCs/>
          <w:sz w:val="22"/>
          <w:szCs w:val="22"/>
          <w:lang w:val="es-ES_tradnl"/>
        </w:rPr>
      </w:pPr>
    </w:p>
    <w:p w14:paraId="1E6DC04D" w14:textId="7B876A43" w:rsidR="0027337E" w:rsidRPr="004C68F2" w:rsidRDefault="004C68F2" w:rsidP="004C68F2">
      <w:pPr>
        <w:pStyle w:val="NormalWeb"/>
        <w:shd w:val="clear" w:color="auto" w:fill="FFFFFF"/>
        <w:spacing w:before="0" w:beforeAutospacing="0" w:after="0" w:afterAutospacing="0"/>
        <w:ind w:left="4253"/>
        <w:jc w:val="both"/>
        <w:rPr>
          <w:rFonts w:ascii="Bookman Old Style" w:hAnsi="Bookman Old Style" w:cs="Arial"/>
          <w:bCs/>
          <w:sz w:val="22"/>
          <w:szCs w:val="22"/>
        </w:rPr>
      </w:pPr>
      <w:proofErr w:type="spellStart"/>
      <w:r w:rsidRPr="004C68F2">
        <w:rPr>
          <w:rFonts w:ascii="Bookman Old Style" w:hAnsi="Bookman Old Style" w:cs="Arial"/>
          <w:b/>
          <w:bCs/>
          <w:sz w:val="22"/>
          <w:szCs w:val="22"/>
          <w:lang w:val="es-ES_tradnl"/>
        </w:rPr>
        <w:t>Ref</w:t>
      </w:r>
      <w:proofErr w:type="spellEnd"/>
      <w:r w:rsidR="0027337E" w:rsidRPr="004C68F2">
        <w:rPr>
          <w:rFonts w:ascii="Bookman Old Style" w:hAnsi="Bookman Old Style" w:cs="Arial"/>
          <w:b/>
          <w:bCs/>
          <w:sz w:val="22"/>
          <w:szCs w:val="22"/>
          <w:lang w:val="es-ES_tradnl"/>
        </w:rPr>
        <w:t>:</w:t>
      </w:r>
      <w:r w:rsidR="0027337E" w:rsidRPr="004C68F2">
        <w:rPr>
          <w:rFonts w:ascii="Bookman Old Style" w:hAnsi="Bookman Old Style" w:cs="Arial"/>
          <w:b/>
          <w:bCs/>
          <w:sz w:val="22"/>
          <w:szCs w:val="22"/>
          <w:lang w:val="es-ES_tradnl"/>
        </w:rPr>
        <w:tab/>
        <w:t xml:space="preserve">Informe de Ponencia para primer debate al Proyecto de Ley número </w:t>
      </w:r>
      <w:r w:rsidR="00616F28">
        <w:rPr>
          <w:rFonts w:ascii="Bookman Old Style" w:hAnsi="Bookman Old Style" w:cs="Arial"/>
          <w:b/>
          <w:bCs/>
          <w:sz w:val="22"/>
          <w:szCs w:val="22"/>
          <w:lang w:val="es-ES_tradnl"/>
        </w:rPr>
        <w:t>410</w:t>
      </w:r>
      <w:r w:rsidR="0027337E" w:rsidRPr="004C68F2">
        <w:rPr>
          <w:rFonts w:ascii="Bookman Old Style" w:hAnsi="Bookman Old Style" w:cs="Arial"/>
          <w:b/>
          <w:bCs/>
          <w:sz w:val="22"/>
          <w:szCs w:val="22"/>
          <w:lang w:val="es-ES_tradnl"/>
        </w:rPr>
        <w:t xml:space="preserve"> de 2020 Cámara.</w:t>
      </w:r>
    </w:p>
    <w:p w14:paraId="737714D3"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rPr>
      </w:pPr>
    </w:p>
    <w:p w14:paraId="3A66CE1A"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rPr>
      </w:pPr>
    </w:p>
    <w:p w14:paraId="14FD8135"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bCs/>
          <w:sz w:val="22"/>
          <w:szCs w:val="22"/>
        </w:rPr>
      </w:pPr>
    </w:p>
    <w:p w14:paraId="5C5285D9"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r w:rsidRPr="004C68F2">
        <w:rPr>
          <w:rFonts w:ascii="Bookman Old Style" w:hAnsi="Bookman Old Style" w:cs="Arial"/>
          <w:bCs/>
          <w:sz w:val="22"/>
          <w:szCs w:val="22"/>
          <w:lang w:val="es-ES_tradnl"/>
        </w:rPr>
        <w:t>Honorables Representantes:</w:t>
      </w:r>
    </w:p>
    <w:p w14:paraId="64E5CD7E"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Cs/>
          <w:sz w:val="22"/>
          <w:szCs w:val="22"/>
          <w:lang w:val="es-ES_tradnl"/>
        </w:rPr>
      </w:pPr>
    </w:p>
    <w:p w14:paraId="5F0937AF" w14:textId="4D947DB0" w:rsidR="0027337E" w:rsidRPr="00616F28" w:rsidRDefault="0027337E" w:rsidP="00616F28">
      <w:p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4C68F2">
        <w:rPr>
          <w:rFonts w:ascii="Bookman Old Style" w:hAnsi="Bookman Old Style" w:cs="Arial"/>
          <w:bCs/>
          <w:sz w:val="22"/>
          <w:szCs w:val="22"/>
          <w:lang w:val="es-ES_tradnl"/>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permitimos rendir Informe de Ponencia para primer debate al Proyecto de Ley número </w:t>
      </w:r>
      <w:r w:rsidR="00616F28">
        <w:rPr>
          <w:rFonts w:ascii="Bookman Old Style" w:hAnsi="Bookman Old Style" w:cs="Arial"/>
          <w:bCs/>
          <w:sz w:val="22"/>
          <w:szCs w:val="22"/>
          <w:lang w:val="es-ES_tradnl"/>
        </w:rPr>
        <w:t>410</w:t>
      </w:r>
      <w:r w:rsidRPr="004C68F2">
        <w:rPr>
          <w:rFonts w:ascii="Bookman Old Style" w:hAnsi="Bookman Old Style" w:cs="Arial"/>
          <w:bCs/>
          <w:sz w:val="22"/>
          <w:szCs w:val="22"/>
          <w:lang w:val="es-ES_tradnl"/>
        </w:rPr>
        <w:t xml:space="preserve"> de 2020 Cámara, </w:t>
      </w:r>
      <w:r w:rsidR="00616F28" w:rsidRPr="007D31A4">
        <w:rPr>
          <w:rFonts w:ascii="Bookman Old Style" w:eastAsia="Bookman Old Style" w:hAnsi="Bookman Old Style" w:cs="Bookman Old Style"/>
          <w:i/>
          <w:color w:val="000000"/>
          <w:sz w:val="22"/>
          <w:szCs w:val="22"/>
        </w:rPr>
        <w:t>Por el cual se eliminan las prácticas taurinas en el territorio nacional y se dictan otras disposiciones</w:t>
      </w:r>
      <w:r w:rsidRPr="004C68F2">
        <w:rPr>
          <w:rFonts w:ascii="Bookman Old Style" w:hAnsi="Bookman Old Style" w:cs="Arial"/>
          <w:i/>
          <w:sz w:val="22"/>
          <w:szCs w:val="22"/>
          <w:lang w:val="es-ES"/>
        </w:rPr>
        <w:t>,</w:t>
      </w:r>
      <w:r w:rsidRPr="004C68F2">
        <w:rPr>
          <w:rFonts w:ascii="Bookman Old Style" w:hAnsi="Bookman Old Style" w:cs="Arial"/>
          <w:sz w:val="22"/>
          <w:szCs w:val="22"/>
          <w:lang w:val="es-ES"/>
        </w:rPr>
        <w:t xml:space="preserve"> con base en las siguientes consideraciones.</w:t>
      </w:r>
    </w:p>
    <w:p w14:paraId="7FAA1767"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3B50BAA9" w14:textId="77777777" w:rsidR="0027337E" w:rsidRPr="004C68F2"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2315C322" w14:textId="77777777" w:rsidR="0027337E" w:rsidRPr="004C68F2"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14EBABBF" w14:textId="54A6B056" w:rsidR="0027337E"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19C7C68F" w14:textId="20192455" w:rsidR="00616F28" w:rsidRDefault="00616F28"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7F93962F" w14:textId="5BF589F3" w:rsidR="00616F28" w:rsidRDefault="00616F28"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75BA194C" w14:textId="77777777" w:rsidR="00616F28" w:rsidRPr="004C68F2" w:rsidRDefault="00616F28"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3028814D" w14:textId="77777777" w:rsidR="0027337E"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4734A713" w14:textId="77777777" w:rsidR="00861C3D" w:rsidRDefault="00861C3D"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39C3D1AA" w14:textId="77777777" w:rsidR="001A2E51" w:rsidRPr="004C68F2" w:rsidRDefault="001A2E51"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p>
    <w:p w14:paraId="1CF52251" w14:textId="77777777" w:rsidR="0027337E" w:rsidRPr="004C68F2" w:rsidRDefault="0027337E" w:rsidP="004C68F2">
      <w:pPr>
        <w:pStyle w:val="NormalWeb"/>
        <w:shd w:val="clear" w:color="auto" w:fill="FFFFFF"/>
        <w:spacing w:before="0" w:beforeAutospacing="0" w:after="0" w:afterAutospacing="0"/>
        <w:jc w:val="center"/>
        <w:rPr>
          <w:rFonts w:ascii="Bookman Old Style" w:hAnsi="Bookman Old Style" w:cs="Arial"/>
          <w:b/>
          <w:sz w:val="22"/>
          <w:szCs w:val="22"/>
          <w:lang w:val="es-ES"/>
        </w:rPr>
      </w:pPr>
      <w:r w:rsidRPr="004C68F2">
        <w:rPr>
          <w:rFonts w:ascii="Bookman Old Style" w:hAnsi="Bookman Old Style" w:cs="Arial"/>
          <w:b/>
          <w:sz w:val="22"/>
          <w:szCs w:val="22"/>
          <w:lang w:val="es-ES"/>
        </w:rPr>
        <w:lastRenderedPageBreak/>
        <w:t>EXPOSICIÓN DE MOTIVOS</w:t>
      </w:r>
    </w:p>
    <w:p w14:paraId="033251E0"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3C7BA6B0"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b/>
          <w:sz w:val="22"/>
          <w:szCs w:val="22"/>
          <w:lang w:val="es-ES"/>
        </w:rPr>
      </w:pPr>
      <w:r w:rsidRPr="004C68F2">
        <w:rPr>
          <w:rFonts w:ascii="Bookman Old Style" w:hAnsi="Bookman Old Style" w:cs="Arial"/>
          <w:b/>
          <w:sz w:val="22"/>
          <w:szCs w:val="22"/>
          <w:lang w:val="es-ES"/>
        </w:rPr>
        <w:t>CONTENIDO</w:t>
      </w:r>
    </w:p>
    <w:p w14:paraId="6EB67D23" w14:textId="77777777" w:rsidR="0027337E"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07A6E9C5" w14:textId="77777777" w:rsidR="00614F57" w:rsidRPr="004C68F2" w:rsidRDefault="00614F57"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3DF20056" w14:textId="7186750F" w:rsidR="0027337E" w:rsidRDefault="00320E29"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 xml:space="preserve">1. </w:t>
      </w:r>
      <w:r w:rsidR="00BF135B">
        <w:rPr>
          <w:rFonts w:ascii="Bookman Old Style" w:hAnsi="Bookman Old Style" w:cs="Arial"/>
          <w:sz w:val="22"/>
          <w:szCs w:val="22"/>
          <w:lang w:val="es-ES"/>
        </w:rPr>
        <w:t>Trámite de la iniciativa</w:t>
      </w:r>
    </w:p>
    <w:p w14:paraId="133AC983" w14:textId="622B18CD" w:rsidR="00320E29" w:rsidRDefault="00BF135B"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2. Objeto</w:t>
      </w:r>
    </w:p>
    <w:p w14:paraId="60A4A511" w14:textId="3DDED3F8" w:rsidR="00320E29" w:rsidRDefault="00BF135B"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3. Antecedentes</w:t>
      </w:r>
    </w:p>
    <w:p w14:paraId="445E54ED" w14:textId="69A85A17" w:rsidR="00320E29" w:rsidRDefault="00BF135B"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4. Justificación del proyecto de ley</w:t>
      </w:r>
    </w:p>
    <w:p w14:paraId="11A28E98" w14:textId="463DF868" w:rsidR="00320E29" w:rsidRDefault="00BF135B" w:rsidP="00067145">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Pr>
          <w:rFonts w:ascii="Bookman Old Style" w:hAnsi="Bookman Old Style" w:cs="Arial"/>
          <w:sz w:val="22"/>
          <w:szCs w:val="22"/>
          <w:lang w:val="es-ES"/>
        </w:rPr>
        <w:t>4.1. Sustento normativo</w:t>
      </w:r>
    </w:p>
    <w:p w14:paraId="7E7465CB" w14:textId="240DBDA8" w:rsidR="00320E29" w:rsidRDefault="00BF135B" w:rsidP="00067145">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Pr>
          <w:rFonts w:ascii="Bookman Old Style" w:hAnsi="Bookman Old Style" w:cs="Arial"/>
          <w:sz w:val="22"/>
          <w:szCs w:val="22"/>
          <w:lang w:val="es-ES"/>
        </w:rPr>
        <w:t>4.</w:t>
      </w:r>
      <w:r w:rsidR="00861C3D">
        <w:rPr>
          <w:rFonts w:ascii="Bookman Old Style" w:hAnsi="Bookman Old Style" w:cs="Arial"/>
          <w:sz w:val="22"/>
          <w:szCs w:val="22"/>
          <w:lang w:val="es-ES"/>
        </w:rPr>
        <w:t>2</w:t>
      </w:r>
      <w:r>
        <w:rPr>
          <w:rFonts w:ascii="Bookman Old Style" w:hAnsi="Bookman Old Style" w:cs="Arial"/>
          <w:sz w:val="22"/>
          <w:szCs w:val="22"/>
          <w:lang w:val="es-ES"/>
        </w:rPr>
        <w:t>. Sustento jurisprudencial</w:t>
      </w:r>
    </w:p>
    <w:p w14:paraId="2A5C3C25" w14:textId="0EF360B4" w:rsidR="00067145" w:rsidRDefault="00861C3D" w:rsidP="00067145">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Pr>
          <w:rFonts w:ascii="Bookman Old Style" w:hAnsi="Bookman Old Style" w:cs="Arial"/>
          <w:sz w:val="22"/>
          <w:szCs w:val="22"/>
          <w:lang w:val="es-ES"/>
        </w:rPr>
        <w:t>4.3</w:t>
      </w:r>
      <w:r w:rsidR="00BF135B">
        <w:rPr>
          <w:rFonts w:ascii="Bookman Old Style" w:hAnsi="Bookman Old Style" w:cs="Arial"/>
          <w:sz w:val="22"/>
          <w:szCs w:val="22"/>
          <w:lang w:val="es-ES"/>
        </w:rPr>
        <w:t>. Sustento internacional</w:t>
      </w:r>
    </w:p>
    <w:p w14:paraId="01758129" w14:textId="655E261B" w:rsidR="00067145" w:rsidRDefault="00BF135B" w:rsidP="00067145">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Pr>
          <w:rFonts w:ascii="Bookman Old Style" w:hAnsi="Bookman Old Style" w:cs="Arial"/>
          <w:sz w:val="22"/>
          <w:szCs w:val="22"/>
          <w:lang w:val="es-ES"/>
        </w:rPr>
        <w:t>4.</w:t>
      </w:r>
      <w:r w:rsidR="00861C3D">
        <w:rPr>
          <w:rFonts w:ascii="Bookman Old Style" w:hAnsi="Bookman Old Style" w:cs="Arial"/>
          <w:sz w:val="22"/>
          <w:szCs w:val="22"/>
          <w:lang w:val="es-ES"/>
        </w:rPr>
        <w:t>4</w:t>
      </w:r>
      <w:r>
        <w:rPr>
          <w:rFonts w:ascii="Bookman Old Style" w:hAnsi="Bookman Old Style" w:cs="Arial"/>
          <w:sz w:val="22"/>
          <w:szCs w:val="22"/>
          <w:lang w:val="es-ES"/>
        </w:rPr>
        <w:t>. Sustento científico</w:t>
      </w:r>
    </w:p>
    <w:p w14:paraId="132349E2" w14:textId="67B07CE9" w:rsidR="00067145" w:rsidRDefault="00BF135B" w:rsidP="00067145">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Pr>
          <w:rFonts w:ascii="Bookman Old Style" w:hAnsi="Bookman Old Style" w:cs="Arial"/>
          <w:sz w:val="22"/>
          <w:szCs w:val="22"/>
          <w:lang w:val="es-ES"/>
        </w:rPr>
        <w:t>4.</w:t>
      </w:r>
      <w:r w:rsidR="00861C3D">
        <w:rPr>
          <w:rFonts w:ascii="Bookman Old Style" w:hAnsi="Bookman Old Style" w:cs="Arial"/>
          <w:sz w:val="22"/>
          <w:szCs w:val="22"/>
          <w:lang w:val="es-ES"/>
        </w:rPr>
        <w:t>5</w:t>
      </w:r>
      <w:r>
        <w:rPr>
          <w:rFonts w:ascii="Bookman Old Style" w:hAnsi="Bookman Old Style" w:cs="Arial"/>
          <w:sz w:val="22"/>
          <w:szCs w:val="22"/>
          <w:lang w:val="es-ES"/>
        </w:rPr>
        <w:t>. Sustento social</w:t>
      </w:r>
    </w:p>
    <w:p w14:paraId="609F3160" w14:textId="53145041" w:rsidR="00067145" w:rsidRDefault="00BF135B" w:rsidP="00067145">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Pr>
          <w:rFonts w:ascii="Bookman Old Style" w:hAnsi="Bookman Old Style" w:cs="Arial"/>
          <w:sz w:val="22"/>
          <w:szCs w:val="22"/>
          <w:lang w:val="es-ES"/>
        </w:rPr>
        <w:t>4.</w:t>
      </w:r>
      <w:r w:rsidR="00861C3D">
        <w:rPr>
          <w:rFonts w:ascii="Bookman Old Style" w:hAnsi="Bookman Old Style" w:cs="Arial"/>
          <w:sz w:val="22"/>
          <w:szCs w:val="22"/>
          <w:lang w:val="es-ES"/>
        </w:rPr>
        <w:t>6</w:t>
      </w:r>
      <w:r>
        <w:rPr>
          <w:rFonts w:ascii="Bookman Old Style" w:hAnsi="Bookman Old Style" w:cs="Arial"/>
          <w:sz w:val="22"/>
          <w:szCs w:val="22"/>
          <w:lang w:val="es-ES"/>
        </w:rPr>
        <w:t>. Sustento económico</w:t>
      </w:r>
    </w:p>
    <w:p w14:paraId="5317C662" w14:textId="25146782" w:rsidR="00067145" w:rsidRDefault="00BF135B" w:rsidP="00067145">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 xml:space="preserve">5. Competencia del congreso </w:t>
      </w:r>
    </w:p>
    <w:p w14:paraId="7D40A849" w14:textId="45CA3CE3" w:rsidR="00BF135B" w:rsidRDefault="00BF135B" w:rsidP="00BF135B">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Pr>
          <w:rFonts w:ascii="Bookman Old Style" w:hAnsi="Bookman Old Style" w:cs="Arial"/>
          <w:sz w:val="22"/>
          <w:szCs w:val="22"/>
          <w:lang w:val="es-ES"/>
        </w:rPr>
        <w:t>5.1. Constitucional</w:t>
      </w:r>
    </w:p>
    <w:p w14:paraId="7BD8BF27" w14:textId="31208733" w:rsidR="00BF135B" w:rsidRDefault="00BF135B" w:rsidP="00BF135B">
      <w:pPr>
        <w:pStyle w:val="NormalWeb"/>
        <w:shd w:val="clear" w:color="auto" w:fill="FFFFFF"/>
        <w:spacing w:before="0" w:beforeAutospacing="0" w:after="0" w:afterAutospacing="0"/>
        <w:ind w:left="284"/>
        <w:jc w:val="both"/>
        <w:rPr>
          <w:rFonts w:ascii="Bookman Old Style" w:hAnsi="Bookman Old Style" w:cs="Arial"/>
          <w:sz w:val="22"/>
          <w:szCs w:val="22"/>
          <w:lang w:val="es-ES"/>
        </w:rPr>
      </w:pPr>
      <w:r>
        <w:rPr>
          <w:rFonts w:ascii="Bookman Old Style" w:hAnsi="Bookman Old Style" w:cs="Arial"/>
          <w:sz w:val="22"/>
          <w:szCs w:val="22"/>
          <w:lang w:val="es-ES"/>
        </w:rPr>
        <w:t>5.2. Legal</w:t>
      </w:r>
    </w:p>
    <w:p w14:paraId="4D656E70" w14:textId="48621041" w:rsidR="00BF135B" w:rsidRDefault="00BF135B" w:rsidP="00067145">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6. Conflicto de interés</w:t>
      </w:r>
    </w:p>
    <w:p w14:paraId="777464DF" w14:textId="79F882E0" w:rsidR="00BF135B" w:rsidRDefault="00BF135B" w:rsidP="00067145">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7. Pliego de modificaciones</w:t>
      </w:r>
    </w:p>
    <w:p w14:paraId="6EB12CDF" w14:textId="1D754C7B" w:rsidR="00BF135B" w:rsidRPr="004C68F2" w:rsidRDefault="00BF135B" w:rsidP="00067145">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 xml:space="preserve">8. Proposición </w:t>
      </w:r>
    </w:p>
    <w:p w14:paraId="0803B033" w14:textId="77777777" w:rsidR="0027337E" w:rsidRPr="004C68F2"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108B368C" w14:textId="77777777" w:rsidR="0027337E" w:rsidRPr="004C68F2" w:rsidRDefault="0027337E" w:rsidP="004C68F2">
      <w:pPr>
        <w:pStyle w:val="Ttulo1"/>
        <w:numPr>
          <w:ilvl w:val="0"/>
          <w:numId w:val="32"/>
        </w:numPr>
        <w:spacing w:before="0"/>
        <w:rPr>
          <w:szCs w:val="22"/>
          <w:lang w:val="es-ES"/>
        </w:rPr>
      </w:pPr>
      <w:bookmarkStart w:id="0" w:name="_Toc48731933"/>
      <w:r w:rsidRPr="004C68F2">
        <w:rPr>
          <w:szCs w:val="22"/>
          <w:lang w:val="es-ES"/>
        </w:rPr>
        <w:t>TRÁMITE DE LA INICIATIVA.</w:t>
      </w:r>
      <w:bookmarkEnd w:id="0"/>
    </w:p>
    <w:p w14:paraId="47B85E2B" w14:textId="77777777" w:rsidR="0027337E" w:rsidRPr="004C68F2" w:rsidRDefault="0027337E" w:rsidP="004C68F2">
      <w:pPr>
        <w:pStyle w:val="NormalWeb"/>
        <w:shd w:val="clear" w:color="auto" w:fill="FFFFFF"/>
        <w:spacing w:before="0" w:beforeAutospacing="0" w:after="0" w:afterAutospacing="0"/>
        <w:ind w:left="720"/>
        <w:jc w:val="both"/>
        <w:rPr>
          <w:rFonts w:ascii="Bookman Old Style" w:hAnsi="Bookman Old Style" w:cs="Arial"/>
          <w:sz w:val="22"/>
          <w:szCs w:val="22"/>
          <w:lang w:val="es-ES"/>
        </w:rPr>
      </w:pPr>
    </w:p>
    <w:p w14:paraId="5D846C60" w14:textId="6A1C7356" w:rsidR="0027337E" w:rsidRDefault="0027337E"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sidRPr="004C68F2">
        <w:rPr>
          <w:rFonts w:ascii="Bookman Old Style" w:hAnsi="Bookman Old Style" w:cs="Arial"/>
          <w:sz w:val="22"/>
          <w:szCs w:val="22"/>
          <w:lang w:val="es-ES"/>
        </w:rPr>
        <w:t xml:space="preserve">El Proyecto de Ley número </w:t>
      </w:r>
      <w:r w:rsidR="00624512">
        <w:rPr>
          <w:rFonts w:ascii="Bookman Old Style" w:hAnsi="Bookman Old Style" w:cs="Arial"/>
          <w:sz w:val="22"/>
          <w:szCs w:val="22"/>
          <w:lang w:val="es-ES"/>
        </w:rPr>
        <w:t>410</w:t>
      </w:r>
      <w:r w:rsidRPr="004C68F2">
        <w:rPr>
          <w:rFonts w:ascii="Bookman Old Style" w:hAnsi="Bookman Old Style" w:cs="Arial"/>
          <w:sz w:val="22"/>
          <w:szCs w:val="22"/>
          <w:lang w:val="es-ES"/>
        </w:rPr>
        <w:t xml:space="preserve"> de 2020 Cámara, fue radicado el día </w:t>
      </w:r>
      <w:r w:rsidR="00BF135B" w:rsidRPr="00BF135B">
        <w:rPr>
          <w:rFonts w:ascii="Bookman Old Style" w:hAnsi="Bookman Old Style" w:cs="Arial"/>
          <w:sz w:val="22"/>
          <w:szCs w:val="22"/>
          <w:lang w:val="es-ES"/>
        </w:rPr>
        <w:t>11</w:t>
      </w:r>
      <w:r w:rsidRPr="00BF135B">
        <w:rPr>
          <w:rFonts w:ascii="Bookman Old Style" w:hAnsi="Bookman Old Style" w:cs="Arial"/>
          <w:sz w:val="22"/>
          <w:szCs w:val="22"/>
          <w:lang w:val="es-ES"/>
        </w:rPr>
        <w:t xml:space="preserve"> de </w:t>
      </w:r>
      <w:r w:rsidR="00BF135B" w:rsidRPr="00BF135B">
        <w:rPr>
          <w:rFonts w:ascii="Bookman Old Style" w:hAnsi="Bookman Old Style" w:cs="Arial"/>
          <w:sz w:val="22"/>
          <w:szCs w:val="22"/>
          <w:lang w:val="es-ES"/>
        </w:rPr>
        <w:t>septiembre</w:t>
      </w:r>
      <w:r w:rsidRPr="00BF135B">
        <w:rPr>
          <w:rFonts w:ascii="Bookman Old Style" w:hAnsi="Bookman Old Style" w:cs="Arial"/>
          <w:sz w:val="22"/>
          <w:szCs w:val="22"/>
          <w:lang w:val="es-ES"/>
        </w:rPr>
        <w:t xml:space="preserve"> de 2020</w:t>
      </w:r>
      <w:r w:rsidRPr="004C68F2">
        <w:rPr>
          <w:rFonts w:ascii="Bookman Old Style" w:hAnsi="Bookman Old Style" w:cs="Arial"/>
          <w:sz w:val="22"/>
          <w:szCs w:val="22"/>
          <w:lang w:val="es-ES"/>
        </w:rPr>
        <w:t xml:space="preserve"> por l</w:t>
      </w:r>
      <w:r w:rsidR="00BF135B">
        <w:rPr>
          <w:rFonts w:ascii="Bookman Old Style" w:hAnsi="Bookman Old Style" w:cs="Arial"/>
          <w:sz w:val="22"/>
          <w:szCs w:val="22"/>
          <w:lang w:val="es-ES"/>
        </w:rPr>
        <w:t>os</w:t>
      </w:r>
      <w:r w:rsidRPr="004C68F2">
        <w:rPr>
          <w:rFonts w:ascii="Bookman Old Style" w:hAnsi="Bookman Old Style" w:cs="Arial"/>
          <w:sz w:val="22"/>
          <w:szCs w:val="22"/>
          <w:lang w:val="es-ES"/>
        </w:rPr>
        <w:t xml:space="preserve"> H.R. Juan Carlos Lozada Varga</w:t>
      </w:r>
      <w:r w:rsidR="00BF135B">
        <w:rPr>
          <w:rFonts w:ascii="Bookman Old Style" w:hAnsi="Bookman Old Style" w:cs="Arial"/>
          <w:sz w:val="22"/>
          <w:szCs w:val="22"/>
          <w:lang w:val="es-ES"/>
        </w:rPr>
        <w:t>s, Ángel María Gaitán, José Daniel López, Fabián Díaz Plata e Inti Raúl Asprilla.</w:t>
      </w:r>
    </w:p>
    <w:p w14:paraId="54A9B4B9" w14:textId="0D86F40D" w:rsidR="00BF135B" w:rsidRDefault="00BF135B" w:rsidP="004C68F2">
      <w:pPr>
        <w:pStyle w:val="NormalWeb"/>
        <w:shd w:val="clear" w:color="auto" w:fill="FFFFFF"/>
        <w:spacing w:before="0" w:beforeAutospacing="0" w:after="0" w:afterAutospacing="0"/>
        <w:jc w:val="both"/>
        <w:rPr>
          <w:rFonts w:ascii="Bookman Old Style" w:hAnsi="Bookman Old Style" w:cs="Arial"/>
          <w:sz w:val="22"/>
          <w:szCs w:val="22"/>
          <w:lang w:val="es-ES"/>
        </w:rPr>
      </w:pPr>
    </w:p>
    <w:p w14:paraId="0D4D5E35" w14:textId="44ECB67C" w:rsidR="00BF135B" w:rsidRDefault="00BF135B"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 xml:space="preserve">Se sugirió que su trámite fuera adelantado por la Comisión Primera Constitucional de la Cámara de Representantes, en tanto </w:t>
      </w:r>
      <w:r w:rsidRPr="007D31A4">
        <w:rPr>
          <w:rFonts w:ascii="Bookman Old Style" w:eastAsia="Bookman Old Style" w:hAnsi="Bookman Old Style" w:cs="Bookman Old Style"/>
          <w:color w:val="000000"/>
          <w:sz w:val="22"/>
          <w:szCs w:val="22"/>
        </w:rPr>
        <w:t>pretende el reconocimiento de la protección y derechos de los animales en su calidad de seres sintientes.</w:t>
      </w:r>
    </w:p>
    <w:p w14:paraId="24AE2C6E" w14:textId="263B1385" w:rsidR="008A7C7F" w:rsidRPr="004C68F2" w:rsidRDefault="00577A93" w:rsidP="004C68F2">
      <w:pPr>
        <w:pStyle w:val="NormalWeb"/>
        <w:shd w:val="clear" w:color="auto" w:fill="FFFFFF"/>
        <w:spacing w:before="0" w:beforeAutospacing="0" w:after="0" w:afterAutospacing="0"/>
        <w:jc w:val="both"/>
        <w:rPr>
          <w:rFonts w:ascii="Bookman Old Style" w:hAnsi="Bookman Old Style" w:cs="Arial"/>
          <w:sz w:val="22"/>
          <w:szCs w:val="22"/>
          <w:lang w:val="es-ES"/>
        </w:rPr>
      </w:pPr>
      <w:r>
        <w:rPr>
          <w:rFonts w:ascii="Bookman Old Style" w:hAnsi="Bookman Old Style" w:cs="Arial"/>
          <w:sz w:val="22"/>
          <w:szCs w:val="22"/>
          <w:lang w:val="es-ES"/>
        </w:rPr>
        <w:tab/>
      </w:r>
    </w:p>
    <w:p w14:paraId="3C3E798A" w14:textId="77777777" w:rsidR="0027337E" w:rsidRPr="004C68F2" w:rsidRDefault="0027337E" w:rsidP="004C68F2">
      <w:pPr>
        <w:pStyle w:val="Ttulo1"/>
        <w:numPr>
          <w:ilvl w:val="0"/>
          <w:numId w:val="32"/>
        </w:numPr>
        <w:spacing w:before="0"/>
        <w:rPr>
          <w:szCs w:val="22"/>
          <w:lang w:val="es-ES"/>
        </w:rPr>
      </w:pPr>
      <w:bookmarkStart w:id="1" w:name="_Toc48731934"/>
      <w:r w:rsidRPr="004C68F2">
        <w:rPr>
          <w:szCs w:val="22"/>
          <w:lang w:val="es-ES"/>
        </w:rPr>
        <w:t>OBJETO.</w:t>
      </w:r>
      <w:bookmarkEnd w:id="1"/>
      <w:r w:rsidRPr="004C68F2">
        <w:rPr>
          <w:bCs/>
          <w:szCs w:val="22"/>
        </w:rPr>
        <w:t xml:space="preserve">      </w:t>
      </w:r>
    </w:p>
    <w:p w14:paraId="43C974BB" w14:textId="77777777" w:rsidR="0027337E" w:rsidRPr="004C68F2" w:rsidRDefault="0027337E" w:rsidP="004C68F2">
      <w:pPr>
        <w:pStyle w:val="Sinespaciado"/>
        <w:tabs>
          <w:tab w:val="left" w:pos="8055"/>
        </w:tabs>
        <w:jc w:val="both"/>
        <w:rPr>
          <w:rFonts w:ascii="Bookman Old Style" w:hAnsi="Bookman Old Style" w:cs="Arial"/>
          <w:b/>
        </w:rPr>
      </w:pPr>
      <w:r w:rsidRPr="004C68F2">
        <w:rPr>
          <w:rFonts w:ascii="Bookman Old Style" w:hAnsi="Bookman Old Style"/>
          <w:bCs/>
          <w:i/>
        </w:rPr>
        <w:t xml:space="preserve"> </w:t>
      </w:r>
    </w:p>
    <w:p w14:paraId="6D8445A2" w14:textId="2AC86829" w:rsidR="00616F28" w:rsidRPr="007D31A4" w:rsidRDefault="0027337E"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4C68F2">
        <w:rPr>
          <w:rFonts w:ascii="Bookman Old Style" w:hAnsi="Bookman Old Style"/>
          <w:bCs/>
          <w:color w:val="000000" w:themeColor="text1"/>
          <w:sz w:val="22"/>
          <w:szCs w:val="22"/>
        </w:rPr>
        <w:t xml:space="preserve">El presente Proyecto de </w:t>
      </w:r>
      <w:r w:rsidR="002F267D">
        <w:rPr>
          <w:rFonts w:ascii="Bookman Old Style" w:hAnsi="Bookman Old Style"/>
          <w:bCs/>
          <w:color w:val="000000" w:themeColor="text1"/>
          <w:sz w:val="22"/>
          <w:szCs w:val="22"/>
        </w:rPr>
        <w:t>Ley</w:t>
      </w:r>
      <w:r w:rsidRPr="004C68F2">
        <w:rPr>
          <w:rFonts w:ascii="Bookman Old Style" w:hAnsi="Bookman Old Style"/>
          <w:bCs/>
          <w:color w:val="000000" w:themeColor="text1"/>
          <w:sz w:val="22"/>
          <w:szCs w:val="22"/>
        </w:rPr>
        <w:t xml:space="preserve"> tiene por objeto </w:t>
      </w:r>
      <w:r w:rsidR="00616F28">
        <w:rPr>
          <w:rFonts w:ascii="Bookman Old Style" w:eastAsia="Bookman Old Style" w:hAnsi="Bookman Old Style" w:cs="Bookman Old Style"/>
          <w:color w:val="000000"/>
          <w:sz w:val="22"/>
          <w:szCs w:val="22"/>
        </w:rPr>
        <w:t>a</w:t>
      </w:r>
      <w:r w:rsidR="00616F28" w:rsidRPr="007D31A4">
        <w:rPr>
          <w:rFonts w:ascii="Bookman Old Style" w:eastAsia="Bookman Old Style" w:hAnsi="Bookman Old Style" w:cs="Bookman Old Style"/>
          <w:color w:val="000000"/>
          <w:sz w:val="22"/>
          <w:szCs w:val="22"/>
        </w:rPr>
        <w:t xml:space="preserve">vanzar en el reconocimiento de los animales como seres sintientes, sujetos de una protección constitucional y legal especial, a través de la prohibición de las prácticas taurinas en todo el territorio nacional, como expresiones de maltrato, crueldad y violencia. </w:t>
      </w:r>
    </w:p>
    <w:p w14:paraId="228FFC5B" w14:textId="70C5C0D9" w:rsidR="0027337E" w:rsidRPr="004C68F2" w:rsidRDefault="0027337E" w:rsidP="004C68F2">
      <w:pPr>
        <w:jc w:val="both"/>
        <w:rPr>
          <w:rFonts w:ascii="Bookman Old Style" w:hAnsi="Bookman Old Style"/>
          <w:bCs/>
          <w:color w:val="000000" w:themeColor="text1"/>
          <w:sz w:val="22"/>
          <w:szCs w:val="22"/>
        </w:rPr>
      </w:pPr>
    </w:p>
    <w:p w14:paraId="08D10169" w14:textId="77777777" w:rsidR="0027337E" w:rsidRPr="004C68F2" w:rsidRDefault="0027337E" w:rsidP="004C68F2">
      <w:pPr>
        <w:jc w:val="both"/>
        <w:rPr>
          <w:rFonts w:ascii="Bookman Old Style" w:hAnsi="Bookman Old Style"/>
          <w:bCs/>
          <w:color w:val="000000" w:themeColor="text1"/>
          <w:sz w:val="22"/>
          <w:szCs w:val="22"/>
        </w:rPr>
      </w:pPr>
    </w:p>
    <w:p w14:paraId="552FBE28" w14:textId="77777777" w:rsidR="0027337E" w:rsidRPr="004C68F2" w:rsidRDefault="0027337E" w:rsidP="004C68F2">
      <w:pPr>
        <w:pStyle w:val="Ttulo1"/>
        <w:numPr>
          <w:ilvl w:val="0"/>
          <w:numId w:val="32"/>
        </w:numPr>
        <w:spacing w:before="0"/>
        <w:rPr>
          <w:szCs w:val="22"/>
          <w:lang w:val="es-ES"/>
        </w:rPr>
      </w:pPr>
      <w:bookmarkStart w:id="2" w:name="_Toc48731935"/>
      <w:r w:rsidRPr="004C68F2">
        <w:rPr>
          <w:szCs w:val="22"/>
          <w:lang w:val="es-ES"/>
        </w:rPr>
        <w:t>ANTECEDENTES DEL PROYECTO.</w:t>
      </w:r>
      <w:bookmarkEnd w:id="2"/>
      <w:r w:rsidRPr="004C68F2">
        <w:rPr>
          <w:bCs/>
          <w:szCs w:val="22"/>
        </w:rPr>
        <w:t xml:space="preserve">      </w:t>
      </w:r>
    </w:p>
    <w:p w14:paraId="239EFA65" w14:textId="77777777" w:rsidR="0027337E" w:rsidRPr="004C68F2" w:rsidRDefault="0027337E" w:rsidP="004C68F2">
      <w:pPr>
        <w:jc w:val="both"/>
        <w:rPr>
          <w:rFonts w:ascii="Bookman Old Style" w:hAnsi="Bookman Old Style"/>
          <w:bCs/>
          <w:color w:val="000000" w:themeColor="text1"/>
          <w:sz w:val="22"/>
          <w:szCs w:val="22"/>
        </w:rPr>
      </w:pPr>
    </w:p>
    <w:p w14:paraId="1FE0DB44"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La prohibición de las actividades taurinas ha estado en el centro del debate desde el año 2010, en el que fue proferida la sentencia C-666, que ponderó el deber de protección a los animales en su calidad de seres sintientes, con las tradiciones </w:t>
      </w:r>
      <w:r w:rsidRPr="007D31A4">
        <w:rPr>
          <w:rFonts w:ascii="Bookman Old Style" w:eastAsia="Bookman Old Style" w:hAnsi="Bookman Old Style" w:cs="Bookman Old Style"/>
          <w:color w:val="000000"/>
          <w:sz w:val="22"/>
          <w:szCs w:val="22"/>
        </w:rPr>
        <w:lastRenderedPageBreak/>
        <w:t>culturales y la expresión de las mismas en aquellos territorios donde existe un arraigo histórico por parte de la población frente al rejoneo, las corridas de toros, las novilladas, las becerradas y las tientas</w:t>
      </w:r>
    </w:p>
    <w:p w14:paraId="1048930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B3D266B"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En aquella oportunidad la Corte decidió declarar exequibles las actividades culturales exceptuadas en el artículo 7 de la Ley 84 de 1989, fijando algunas limitaciones con el fin de adaptar dicha normativa a la nueva realidad jurídica que se impuso con la expedición de la Constitución de 1991. </w:t>
      </w:r>
    </w:p>
    <w:p w14:paraId="03F7BD8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22E91AC"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Desde aquel momento, se han presentado y aprobado distintas iniciativas legislativas que han avanzado en la protección y reconocimiento de los animales, por ejemplo, la Ley 1638 de 2013 y la Ley 1774 de 2016, y, además, han sido proferidas diversas decisiones judiciales, especialmente en sede de tutela y constitucionalidad, que cada vez más ratifican la existencia de una protección especial en cabeza de los animales no solo como seres sintientes sino, incluso, como sujetos de algunos derechos.</w:t>
      </w:r>
    </w:p>
    <w:p w14:paraId="5F976513"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E0D71D4"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El Alto Tribunal Constitucional, además, en distintas oportunidades ha delegado al legislador la potestad de determinar los alcances de la protección a los animales e incluso, desde el año 2010, dejó claro que era el Congreso el llamado a determinar si las actividades taurinas debían mantener su connotación cultural o si, por el contrario, era procedente proceder a su eliminación, con el fin de cumplir los postulados de la Carta Política en materia de protección ambiental y animal.</w:t>
      </w:r>
    </w:p>
    <w:p w14:paraId="74D4A961"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D72E680"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Es así, como desde el año 2017 se han venido presentando iniciativas legislativas, como el proyecto de ley número 271 de 2017 Cámara y 216 de 2018 Senado y el proyecto de ley número 064 Cámara de Representantes, que han buscado modificar de forma definitiva la excepción prevista en el artículo 7 de la Ley 84 de 1989, para prohibir de forma definitiva las prácticas taurinas en el país. </w:t>
      </w:r>
    </w:p>
    <w:p w14:paraId="5C018481"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145380F"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Ambos trámites han estado rodeados de la participación de los movimientos </w:t>
      </w:r>
      <w:proofErr w:type="spellStart"/>
      <w:r w:rsidRPr="007D31A4">
        <w:rPr>
          <w:rFonts w:ascii="Bookman Old Style" w:eastAsia="Bookman Old Style" w:hAnsi="Bookman Old Style" w:cs="Bookman Old Style"/>
          <w:color w:val="000000"/>
          <w:sz w:val="22"/>
          <w:szCs w:val="22"/>
        </w:rPr>
        <w:t>antitaurinos</w:t>
      </w:r>
      <w:proofErr w:type="spellEnd"/>
      <w:r w:rsidRPr="007D31A4">
        <w:rPr>
          <w:rFonts w:ascii="Bookman Old Style" w:eastAsia="Bookman Old Style" w:hAnsi="Bookman Old Style" w:cs="Bookman Old Style"/>
          <w:color w:val="000000"/>
          <w:sz w:val="22"/>
          <w:szCs w:val="22"/>
        </w:rPr>
        <w:t xml:space="preserve"> que han apoyado esta modificación que se ajusta no solo a las leyes y a la jurisprudencia actual, sino que responde verdaderamente al nuevo relacionamiento de los seres humanos con el ambiente. No obstante, estos proyectos también han contado con la participación de los aficionados a la fiesta brava que han intentado mantener incólume estas tradiciones pese a que, notoriamente, cada vez más, cuentan con menos adeptos. </w:t>
      </w:r>
    </w:p>
    <w:p w14:paraId="17846035"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C6B930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En el caso del proyecto de ley número 271 de 2017 Cámara y 216 de 2018 Senado, es importante resaltar que fue radicado por el Ministerio del Interior, junto a una comisión de ciudadanos que solicitaron la presentación de la iniciativa a través de la Coalición Colombia Sin Toreo. En aquella oportunidad, el proyecto tuvo un exitoso paso en la Comisión Séptima y en la Plenaria de la Cámara de Representantes, sin embargo, no prosperó en el Senado de la República.</w:t>
      </w:r>
    </w:p>
    <w:p w14:paraId="55F4D2E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C4BD3D1"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lastRenderedPageBreak/>
        <w:t>Convencidos de la importancia de esta iniciativa, el 01 de agosto de 2018, radicamos nuevamente el proyecto, esta vez con el apoyo de otros parlamentarios, el cual recogió las observaciones recibidas en el proceso legislativo anterior. El proyecto de ley 064 de 2018 superó nuevamente el primer debate en la Comisión Séptima del Cámara de Representantes, pero no alcanzó a tener debate en la plenaria de dicha corporación por lo que fue archivado.</w:t>
      </w:r>
    </w:p>
    <w:p w14:paraId="7409C1F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56397D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Esta es entonces la tercera vez que tramitamos esta iniciativa, convencidos de que es momento de que el Congreso de la República responda de forma efectiva al llamado ciudadano que cada vez se consolida con más fuerza y que reclama una verdadera protección de los animales y su reconocimiento como seres sintientes a los que, incluso, les asiste el reconocimiento de ciertos derechos. </w:t>
      </w:r>
    </w:p>
    <w:p w14:paraId="48C5156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BD30BC0"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Con este proyecto de ley buscamos entonces acabar de forma definitiva con unas prácticas que, bajo el manto de actividades culturales, incitan la construcción de una sociedad violenta y desconocen el mandato constitucional de respetar y preservar todas las formas de vida.</w:t>
      </w:r>
    </w:p>
    <w:p w14:paraId="7A769DD6"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39219D2"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Sin embargo, a diferencia de los trámites anteriores, en esta oportunidad el enfoque del proyecto, más que controvertir actividades culturales o determinar mecanismos de sustitución laboral, radica en los animales y en su condición de sujetos merecedores de una especial protección y del reconocimiento del derecho más básico de todos: el derecho a existir y a no ser sujetos a tratos crueles. </w:t>
      </w:r>
    </w:p>
    <w:p w14:paraId="06F5698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FDE2A86"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Por esta razón, esta iniciativa debe ser estudiada desde una perspectiva distinta, ya no desde el enfoque antropocéntrico que ha caracterizado, sino desde un análisis en el que el legislador evalúe a los animales como verdaderos sujetos de un derecho que, en este caso, está por encima del entretenimiento de los seres humanos. Así las cosas, consideramos que este proyecto de ley deberá iniciar su trámite en la Comisión Primera Constitucional de la Cámara de Representantes. </w:t>
      </w:r>
    </w:p>
    <w:p w14:paraId="59121F49"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C5954B7" w14:textId="13E9EBE6" w:rsidR="008319DB" w:rsidRDefault="00616F28" w:rsidP="00616F28">
      <w:pPr>
        <w:pStyle w:val="Ttulo1"/>
        <w:numPr>
          <w:ilvl w:val="0"/>
          <w:numId w:val="32"/>
        </w:numPr>
        <w:spacing w:before="0"/>
        <w:rPr>
          <w:bCs/>
          <w:szCs w:val="22"/>
        </w:rPr>
      </w:pPr>
      <w:r w:rsidRPr="00616F28">
        <w:rPr>
          <w:szCs w:val="22"/>
          <w:lang w:val="es-ES"/>
        </w:rPr>
        <w:t>JUSTIFICACIÓN</w:t>
      </w:r>
      <w:r>
        <w:rPr>
          <w:bCs/>
          <w:szCs w:val="22"/>
        </w:rPr>
        <w:t xml:space="preserve"> DEL PROYECTO DE LEY</w:t>
      </w:r>
    </w:p>
    <w:p w14:paraId="100B9E9A" w14:textId="28D03314" w:rsidR="00616F28" w:rsidRDefault="00616F28" w:rsidP="00616F28"/>
    <w:p w14:paraId="0472EB6E"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El presente proyecto de ley, retoma y válida el mandato ciudadano que busca, como muestra de una evolución social creciente, superar las anacrónicas prácticas taurinas, erradicando toda forma de violencia pública y legalizada hacia los animales, continuando el camino que ya ha sido trazado por la jurisprudencia constitucional y administrativa, para superar el antropocentrismo.</w:t>
      </w:r>
    </w:p>
    <w:p w14:paraId="47BE9089"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4BBACBC"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Adicionalmente, este proyecto pretende armonizar y actualizar la legislación con la evolución jurisprudencial relativa al relacionamiento entre los seres humanos y los animales la cual, hoy en día, reconoce a los animales como verdaderos seres sintientes e, incluso, ha llegado a afirmar la existencia de unos eventuales derechos que les son predicables, claramente distintos a aquellos reconocidos a los seres humanos.</w:t>
      </w:r>
    </w:p>
    <w:p w14:paraId="5EDEA7C0"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ED6498B"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En ese sentido, a través de esta iniciativa se pretende actualizar la noción de cultura, eliminando unas prácticas crueles y violentas que contravienen los mandatos constitucionales que claramente propenden por el desarrollo de una sociedad armónica con el ambiente y la fauna y la flora que lo componen. Actualización que, como se desarrollará más adelante parten de la prevalencia de los derechos constitucionales a un medio ambiente sano, a la dignidad humana y del necesario reconocimiento de los animales como seres sintientes y sujetos de derechos que merecen una protección especial frente a todas las formas de maltrato.</w:t>
      </w:r>
    </w:p>
    <w:p w14:paraId="1DD0165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2F5CDF6"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Sobre este particular, vale la pena resaltar lo dispuesto por la Corte Constitucional en sentencia C-041 de 2017, en virtud de la cual:</w:t>
      </w:r>
    </w:p>
    <w:p w14:paraId="3AEB45B6"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EDE2DCF"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Siendo este Tribunal el intérprete autorizado de la Carta Política (art. 241), </w:t>
      </w:r>
      <w:r w:rsidRPr="007D31A4">
        <w:rPr>
          <w:rFonts w:ascii="Bookman Old Style" w:eastAsia="Bookman Old Style" w:hAnsi="Bookman Old Style" w:cs="Bookman Old Style"/>
          <w:b/>
          <w:i/>
          <w:color w:val="000000"/>
          <w:sz w:val="22"/>
          <w:szCs w:val="22"/>
          <w:u w:val="single"/>
        </w:rPr>
        <w:t>tiene una función encomiable de hacer cierta para la realidad del Derecho la inclusión de los animales como titulares de ciertos derechos, en la obtención de los fines esenciales y sociales del Estado constitucional</w:t>
      </w:r>
      <w:r w:rsidRPr="007D31A4">
        <w:rPr>
          <w:rFonts w:ascii="Bookman Old Style" w:eastAsia="Bookman Old Style" w:hAnsi="Bookman Old Style" w:cs="Bookman Old Style"/>
          <w:i/>
          <w:color w:val="000000"/>
          <w:sz w:val="22"/>
          <w:szCs w:val="22"/>
        </w:rPr>
        <w:t xml:space="preserve">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5C903E1B"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24AB7ED5"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w:t>
      </w:r>
      <w:r w:rsidRPr="007D31A4">
        <w:rPr>
          <w:rFonts w:ascii="Bookman Old Style" w:eastAsia="Bookman Old Style" w:hAnsi="Bookman Old Style" w:cs="Bookman Old Style"/>
          <w:b/>
          <w:i/>
          <w:color w:val="000000"/>
          <w:sz w:val="22"/>
          <w:szCs w:val="22"/>
          <w:u w:val="single"/>
        </w:rPr>
        <w:t xml:space="preserve">Erradicar la </w:t>
      </w:r>
      <w:proofErr w:type="spellStart"/>
      <w:r w:rsidRPr="007D31A4">
        <w:rPr>
          <w:rFonts w:ascii="Bookman Old Style" w:eastAsia="Bookman Old Style" w:hAnsi="Bookman Old Style" w:cs="Bookman Old Style"/>
          <w:b/>
          <w:i/>
          <w:color w:val="000000"/>
          <w:sz w:val="22"/>
          <w:szCs w:val="22"/>
          <w:u w:val="single"/>
        </w:rPr>
        <w:t>subalternidad</w:t>
      </w:r>
      <w:proofErr w:type="spellEnd"/>
      <w:r w:rsidRPr="007D31A4">
        <w:rPr>
          <w:rFonts w:ascii="Bookman Old Style" w:eastAsia="Bookman Old Style" w:hAnsi="Bookman Old Style" w:cs="Bookman Old Style"/>
          <w:b/>
          <w:i/>
          <w:color w:val="000000"/>
          <w:sz w:val="22"/>
          <w:szCs w:val="22"/>
          <w:u w:val="single"/>
        </w:rPr>
        <w:t xml:space="preserve"> hacia los animales se constituye en un claro y preciso derrotero de la sociedad actual</w:t>
      </w:r>
      <w:r w:rsidRPr="007D31A4">
        <w:rPr>
          <w:rFonts w:ascii="Bookman Old Style" w:eastAsia="Bookman Old Style" w:hAnsi="Bookman Old Style" w:cs="Bookman Old Style"/>
          <w:i/>
          <w:color w:val="000000"/>
          <w:sz w:val="22"/>
          <w:szCs w:val="22"/>
        </w:rPr>
        <w:t>” (Subrayado y negrilla fuera del texto original)</w:t>
      </w:r>
    </w:p>
    <w:p w14:paraId="622D6FDE" w14:textId="77777777" w:rsidR="00616F28" w:rsidRPr="007D31A4" w:rsidRDefault="00616F28" w:rsidP="00616F28">
      <w:pPr>
        <w:pBdr>
          <w:top w:val="nil"/>
          <w:left w:val="nil"/>
          <w:bottom w:val="nil"/>
          <w:right w:val="nil"/>
          <w:between w:val="nil"/>
        </w:pBdr>
        <w:ind w:left="567" w:right="616"/>
        <w:jc w:val="both"/>
        <w:rPr>
          <w:rFonts w:ascii="Bookman Old Style" w:eastAsia="Bookman Old Style" w:hAnsi="Bookman Old Style" w:cs="Bookman Old Style"/>
          <w:color w:val="000000"/>
          <w:sz w:val="22"/>
          <w:szCs w:val="22"/>
        </w:rPr>
      </w:pPr>
    </w:p>
    <w:p w14:paraId="04298439"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En síntesis, esta iniciativa refleja un ineluctable cambio de paradigma social, impulsado por las nuevas generaciones, a nivel mundial y nacional, que ven en su entorno con la naturaleza y los animales una relación más armónica, integral e interdependiente, en donde la vida, sea cual sea su manifestación, debe ser preservada y protegida, máxime cuando se encuentre en clara posición de desventaja y vulneración, sobre la base de los siguientes argumentos:  </w:t>
      </w:r>
    </w:p>
    <w:p w14:paraId="3CECC916" w14:textId="77777777" w:rsidR="00320E29" w:rsidRDefault="00320E29" w:rsidP="00320E29"/>
    <w:p w14:paraId="6A336DBB" w14:textId="24563974" w:rsidR="00616F28" w:rsidRPr="00320E29" w:rsidRDefault="000A5E18" w:rsidP="00320E29">
      <w:pPr>
        <w:pStyle w:val="Prrafodelista"/>
        <w:numPr>
          <w:ilvl w:val="1"/>
          <w:numId w:val="48"/>
        </w:numPr>
        <w:rPr>
          <w:rFonts w:ascii="Bookman Old Style" w:hAnsi="Bookman Old Style"/>
          <w:b/>
          <w:sz w:val="22"/>
          <w:szCs w:val="22"/>
        </w:rPr>
      </w:pPr>
      <w:r>
        <w:rPr>
          <w:rFonts w:ascii="Bookman Old Style" w:hAnsi="Bookman Old Style"/>
          <w:b/>
          <w:sz w:val="22"/>
          <w:szCs w:val="22"/>
        </w:rPr>
        <w:t>Sustento n</w:t>
      </w:r>
      <w:r w:rsidR="00616F28" w:rsidRPr="00320E29">
        <w:rPr>
          <w:rFonts w:ascii="Bookman Old Style" w:hAnsi="Bookman Old Style"/>
          <w:b/>
          <w:sz w:val="22"/>
          <w:szCs w:val="22"/>
        </w:rPr>
        <w:t xml:space="preserve">ormativo. </w:t>
      </w:r>
    </w:p>
    <w:p w14:paraId="6C6D4886" w14:textId="22E044B5" w:rsidR="00616F28" w:rsidRDefault="00616F28" w:rsidP="00616F28">
      <w:pPr>
        <w:rPr>
          <w:rFonts w:ascii="Bookman Old Style" w:hAnsi="Bookman Old Style"/>
          <w:b/>
          <w:sz w:val="22"/>
          <w:szCs w:val="22"/>
        </w:rPr>
      </w:pPr>
    </w:p>
    <w:p w14:paraId="22825A72"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lastRenderedPageBreak/>
        <w:t xml:space="preserve">En Colombia, existe un conjunto de normas vigentes que han consolidado las bases y desarrollos de la protección animal en el país. Si bien aún no se ha desarrollado a cabalidad el mandato constitucional sobre esta materia, los avances han sido importantes y con esta iniciativa se pretende dar un paso adicional en el camino del reconocimiento de los animales como verdaderos sujetos de protección en el ordenamiento jurídico colombiano. </w:t>
      </w:r>
    </w:p>
    <w:p w14:paraId="7DD47B30"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B86CDFB"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Entre estas importantes normas, que integran el marco jurídico general de protección de los animales, podemos citar las siguientes:</w:t>
      </w:r>
    </w:p>
    <w:p w14:paraId="5D99059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278C29B" w14:textId="77777777" w:rsidR="00616F28" w:rsidRPr="007D31A4" w:rsidRDefault="00616F28" w:rsidP="00616F28">
      <w:pPr>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Ley 5 de 1972 y el Decreto reglamentario 497 de 1973:</w:t>
      </w:r>
      <w:r w:rsidRPr="007D31A4">
        <w:rPr>
          <w:rFonts w:ascii="Bookman Old Style" w:eastAsia="Bookman Old Style" w:hAnsi="Bookman Old Style" w:cs="Bookman Old Style"/>
          <w:color w:val="000000"/>
          <w:sz w:val="22"/>
          <w:szCs w:val="22"/>
        </w:rPr>
        <w:t xml:space="preserve"> sobre las Juntas Defensoras de Animales. Estas normas disponen como obligación, la creación en cada municipio de un comité para dirigir la creación y funcionamiento de las juntas defensoras de animales, cuya labor es de recibir las “quejas de crueldad, maltratamientos [sic] o el abandono injustificado” de los animales.</w:t>
      </w:r>
    </w:p>
    <w:p w14:paraId="7DCE9018"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87AD61C" w14:textId="77777777" w:rsidR="00616F28" w:rsidRPr="007D31A4" w:rsidRDefault="00616F28" w:rsidP="00616F28">
      <w:pPr>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Decreto 1608 de 1978:</w:t>
      </w:r>
      <w:r w:rsidRPr="007D31A4">
        <w:rPr>
          <w:rFonts w:ascii="Bookman Old Style" w:eastAsia="Bookman Old Style" w:hAnsi="Bookman Old Style" w:cs="Bookman Old Style"/>
          <w:color w:val="000000"/>
          <w:sz w:val="22"/>
          <w:szCs w:val="22"/>
        </w:rPr>
        <w:t xml:space="preserve"> Código de los Recursos Naturales Renovables. Determina el aprovechamiento de los recursos de la flora y de la fauna. En lo que respecta a los animales, establece que los especímenes de fauna silvestre pertenecen al Estado y, en consecuencia, limita su tenencia y aprovechamiento a la figura de los </w:t>
      </w:r>
      <w:proofErr w:type="spellStart"/>
      <w:r w:rsidRPr="007D31A4">
        <w:rPr>
          <w:rFonts w:ascii="Bookman Old Style" w:eastAsia="Bookman Old Style" w:hAnsi="Bookman Old Style" w:cs="Bookman Old Style"/>
          <w:color w:val="000000"/>
          <w:sz w:val="22"/>
          <w:szCs w:val="22"/>
        </w:rPr>
        <w:t>zoocriaderos</w:t>
      </w:r>
      <w:proofErr w:type="spellEnd"/>
      <w:r w:rsidRPr="007D31A4">
        <w:rPr>
          <w:rFonts w:ascii="Bookman Old Style" w:eastAsia="Bookman Old Style" w:hAnsi="Bookman Old Style" w:cs="Bookman Old Style"/>
          <w:color w:val="000000"/>
          <w:sz w:val="22"/>
          <w:szCs w:val="22"/>
        </w:rPr>
        <w:t xml:space="preserve"> y a las modalidades de caza que, en todo caso, siempre requieren de las autorizaciones correspondientes.</w:t>
      </w:r>
    </w:p>
    <w:p w14:paraId="1B74F7DF"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155D7B0" w14:textId="77777777" w:rsidR="00616F28" w:rsidRPr="007D31A4" w:rsidRDefault="00616F28" w:rsidP="00616F28">
      <w:pPr>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Ley 17 de 1981:</w:t>
      </w:r>
      <w:r w:rsidRPr="007D31A4">
        <w:rPr>
          <w:rFonts w:ascii="Bookman Old Style" w:eastAsia="Bookman Old Style" w:hAnsi="Bookman Old Style" w:cs="Bookman Old Style"/>
          <w:color w:val="000000"/>
          <w:sz w:val="22"/>
          <w:szCs w:val="22"/>
        </w:rPr>
        <w:t xml:space="preserve"> mediante la cual se ratifica la Convención sobre el Comercio Internacional de especies amenazadas de flora y fauna silvestre (CITES) y las resoluciones de las conferencias posteriores.</w:t>
      </w:r>
    </w:p>
    <w:p w14:paraId="05406531"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276ABCC" w14:textId="77777777" w:rsidR="00616F28" w:rsidRPr="007D31A4" w:rsidRDefault="00616F28" w:rsidP="00616F28">
      <w:pPr>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Ley 84 de 1989:</w:t>
      </w:r>
      <w:r w:rsidRPr="007D31A4">
        <w:rPr>
          <w:rFonts w:ascii="Bookman Old Style" w:eastAsia="Bookman Old Style" w:hAnsi="Bookman Old Style" w:cs="Bookman Old Style"/>
          <w:color w:val="000000"/>
          <w:sz w:val="22"/>
          <w:szCs w:val="22"/>
        </w:rPr>
        <w:t xml:space="preserve"> Estatuto Nacional de Protección Animal. Pese a ser una norma anterior a la Constitución de 1991, el Estatuto es la norma que desarrolla más a profundidad el principio de protección y bienestar animal en el territorio nacional. Esta norma cuenta con una parte sustancial de protección de los animales donde se enumeran una serie de conductas constitutivas de crueldad, los deberes correlativos de protección y una serie de prohibiciones. De igual forma, cuenta con una parte procedimental, que impone sanciones a los transgresores del Estatuto y señala un procedimiento administrativo y unas autoridades competentes.</w:t>
      </w:r>
    </w:p>
    <w:p w14:paraId="6DA95DE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584CBAD" w14:textId="77777777" w:rsidR="00616F28" w:rsidRPr="007D31A4" w:rsidRDefault="00616F28" w:rsidP="00616F28">
      <w:pPr>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Ley 599 de 2000</w:t>
      </w:r>
      <w:r w:rsidRPr="007D31A4">
        <w:rPr>
          <w:rFonts w:ascii="Bookman Old Style" w:eastAsia="Bookman Old Style" w:hAnsi="Bookman Old Style" w:cs="Bookman Old Style"/>
          <w:color w:val="000000"/>
          <w:sz w:val="22"/>
          <w:szCs w:val="22"/>
        </w:rPr>
        <w:t>: Código Penal. Esta norma contiene un capítulo exclusivo ubicado en el título XI, que tipifica las conductas que atentan contra el medio ambiente y los recursos naturales.</w:t>
      </w:r>
    </w:p>
    <w:p w14:paraId="22867475"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B2E605B" w14:textId="77777777" w:rsidR="00616F28" w:rsidRPr="007D31A4" w:rsidRDefault="00616F28" w:rsidP="00616F28">
      <w:pPr>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Ley 1638 de 2013</w:t>
      </w:r>
      <w:r w:rsidRPr="007D31A4">
        <w:rPr>
          <w:rFonts w:ascii="Bookman Old Style" w:eastAsia="Bookman Old Style" w:hAnsi="Bookman Old Style" w:cs="Bookman Old Style"/>
          <w:color w:val="000000"/>
          <w:sz w:val="22"/>
          <w:szCs w:val="22"/>
        </w:rPr>
        <w:t xml:space="preserve">: norma que prohibió el uso de animales silvestres, nativos o exóticos, en circos fijos e itinerantes. La Ley 1638 de 2013 fue demandada ante la Corte Constitucional por la presunta vulneración a </w:t>
      </w:r>
      <w:proofErr w:type="spellStart"/>
      <w:r w:rsidRPr="007D31A4">
        <w:rPr>
          <w:rFonts w:ascii="Bookman Old Style" w:eastAsia="Bookman Old Style" w:hAnsi="Bookman Old Style" w:cs="Bookman Old Style"/>
          <w:color w:val="000000"/>
          <w:sz w:val="22"/>
          <w:szCs w:val="22"/>
        </w:rPr>
        <w:t>loss</w:t>
      </w:r>
      <w:proofErr w:type="spellEnd"/>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color w:val="000000"/>
          <w:sz w:val="22"/>
          <w:szCs w:val="22"/>
        </w:rPr>
        <w:lastRenderedPageBreak/>
        <w:t>derechos al trabajo y la cultura. No obstante, el Alto Tribunal la declaró exequible a través de la sentencia C-283 de 2014.</w:t>
      </w:r>
    </w:p>
    <w:p w14:paraId="5D335135"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4BF4968" w14:textId="1AE6DF60" w:rsidR="00616F28" w:rsidRDefault="00616F28" w:rsidP="00616F28">
      <w:pPr>
        <w:numPr>
          <w:ilvl w:val="0"/>
          <w:numId w:val="40"/>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Ley 1774 de 2016:</w:t>
      </w:r>
      <w:r w:rsidRPr="007D31A4">
        <w:rPr>
          <w:rFonts w:ascii="Bookman Old Style" w:eastAsia="Bookman Old Style" w:hAnsi="Bookman Old Style" w:cs="Bookman Old Style"/>
          <w:color w:val="000000"/>
          <w:sz w:val="22"/>
          <w:szCs w:val="22"/>
        </w:rPr>
        <w:t xml:space="preserve"> por medio de la cual se modifican el Código Civil, la Ley 84 de 1989, el Código Penal, el Código de Procedimiento Penal y se dictan otras disposiciones. Esta norma declaró a los animales como seres sintientes y penalizó el maltrato animal. Es conocida popularmente como la Ley contra el maltrato animal y a partir de su expedición, la jurisprudencia constitucional ha sido más contundente frente al deber de protección que le asiste a los animales dentro del ordenamiento jurídico colombiano.</w:t>
      </w:r>
    </w:p>
    <w:p w14:paraId="26141D40" w14:textId="77777777" w:rsidR="000A5E18" w:rsidRPr="007D31A4" w:rsidRDefault="000A5E18" w:rsidP="000A5E1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0B8A295" w14:textId="53D30206" w:rsidR="00616F28" w:rsidRPr="00320E29" w:rsidRDefault="00616F28" w:rsidP="00320E29">
      <w:pPr>
        <w:pStyle w:val="Prrafodelista"/>
        <w:numPr>
          <w:ilvl w:val="1"/>
          <w:numId w:val="48"/>
        </w:numPr>
        <w:rPr>
          <w:rFonts w:ascii="Bookman Old Style" w:hAnsi="Bookman Old Style"/>
          <w:b/>
          <w:sz w:val="22"/>
          <w:szCs w:val="22"/>
        </w:rPr>
      </w:pPr>
      <w:r w:rsidRPr="00320E29">
        <w:rPr>
          <w:rFonts w:ascii="Bookman Old Style" w:hAnsi="Bookman Old Style"/>
          <w:b/>
          <w:sz w:val="22"/>
          <w:szCs w:val="22"/>
        </w:rPr>
        <w:t xml:space="preserve"> </w:t>
      </w:r>
      <w:r w:rsidR="000A5E18">
        <w:rPr>
          <w:rFonts w:ascii="Bookman Old Style" w:hAnsi="Bookman Old Style"/>
          <w:b/>
          <w:sz w:val="22"/>
          <w:szCs w:val="22"/>
        </w:rPr>
        <w:t>Sustento j</w:t>
      </w:r>
      <w:r w:rsidRPr="00320E29">
        <w:rPr>
          <w:rFonts w:ascii="Bookman Old Style" w:hAnsi="Bookman Old Style"/>
          <w:b/>
          <w:sz w:val="22"/>
          <w:szCs w:val="22"/>
        </w:rPr>
        <w:t>urisprudencial.</w:t>
      </w:r>
    </w:p>
    <w:p w14:paraId="034E5F6A" w14:textId="70AF19A8" w:rsidR="00616F28" w:rsidRDefault="00616F28" w:rsidP="00616F28">
      <w:pPr>
        <w:pStyle w:val="Prrafodelista"/>
        <w:rPr>
          <w:rFonts w:ascii="Bookman Old Style" w:hAnsi="Bookman Old Style"/>
          <w:b/>
          <w:sz w:val="22"/>
          <w:szCs w:val="22"/>
        </w:rPr>
      </w:pPr>
    </w:p>
    <w:p w14:paraId="7FCB3506"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Las decisiones judiciales ha sido la herramienta más efectiva para avanzar en la protección de los animales en el país. Desde el año 1997 se ha venido consolidando una línea jurisprudencial que cada vez ratifica con mayor ahínco la necesidad de desarrollar herramientas legislativas tendientes a reconocer a los animales como sujetos merecedores de una verdadera protección. </w:t>
      </w:r>
    </w:p>
    <w:p w14:paraId="31BE2B21"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78965E1"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Además, las decisiones judiciales han profundizado en la relevancia de las relaciones entre los seres humanos y los animales, ya no desde una visión </w:t>
      </w:r>
      <w:proofErr w:type="spellStart"/>
      <w:r w:rsidRPr="007D31A4">
        <w:rPr>
          <w:rFonts w:ascii="Bookman Old Style" w:eastAsia="Bookman Old Style" w:hAnsi="Bookman Old Style" w:cs="Bookman Old Style"/>
          <w:color w:val="000000"/>
          <w:sz w:val="22"/>
          <w:szCs w:val="22"/>
        </w:rPr>
        <w:t>antropocentrista</w:t>
      </w:r>
      <w:proofErr w:type="spellEnd"/>
      <w:r w:rsidRPr="007D31A4">
        <w:rPr>
          <w:rFonts w:ascii="Bookman Old Style" w:eastAsia="Bookman Old Style" w:hAnsi="Bookman Old Style" w:cs="Bookman Old Style"/>
          <w:color w:val="000000"/>
          <w:sz w:val="22"/>
          <w:szCs w:val="22"/>
        </w:rPr>
        <w:t xml:space="preserve"> o utilitarista, sino como seres que comparten espacios vitales y que deben interactuar desde un marco de responsabilidad, respeto y protección.  </w:t>
      </w:r>
    </w:p>
    <w:p w14:paraId="1D16613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E9CA48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De esta forma, se ha impulsado, desde la jurisprudencia, la consolidación de instrumentos legales que han propendido por modificar la concepción de los animales como bienes sujetos a la disposición del ser humano, como fue indicado en el acápite anterior. </w:t>
      </w:r>
    </w:p>
    <w:p w14:paraId="5A61445B"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0884B92"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En lo que respecta al tema que ocupa el presente proyecto de ley, la línea jurisprudencial ha sido clara en avanzar en lo que respecta a la prevalencia de la protección animal frente a aquellas tradiciones que se asientan en actividades que implican violencia y maltrato. Ya en varias oportunidades, la Corte ha conminado al legislador para que adecúe las normas vigentes a los mandatos que se derivan de la llamada “Constitución Ecológica”.</w:t>
      </w:r>
    </w:p>
    <w:p w14:paraId="67C80B2F"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062008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A continuación se expondrán aquellas providencias relevantes en esta materia que no solo justifican la presentación de este proyecto sino que delegan al Congreso de la República, la responsabilidad de dar cumplimiento a los mandatos constitucionales respecto a la protección del ambiente y los animales, deber que hasta la fecha ha omitido el legislativo que, en muchas ocasiones, ni siquiera facilita la realización de los debates pertinentes sobre estos asuntos.  </w:t>
      </w:r>
    </w:p>
    <w:p w14:paraId="4ABB684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129C43D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 xml:space="preserve">Sentencia T-035 de 1997. </w:t>
      </w:r>
      <w:r w:rsidRPr="007D31A4">
        <w:rPr>
          <w:rFonts w:ascii="Bookman Old Style" w:eastAsia="Bookman Old Style" w:hAnsi="Bookman Old Style" w:cs="Bookman Old Style"/>
          <w:color w:val="000000"/>
          <w:sz w:val="22"/>
          <w:szCs w:val="22"/>
        </w:rPr>
        <w:t xml:space="preserve">Corte Constitucional. Acción de tutela relacionada con la tenencia de animales domésticos en propiedad horizontal. Es el primer </w:t>
      </w:r>
      <w:r w:rsidRPr="007D31A4">
        <w:rPr>
          <w:rFonts w:ascii="Bookman Old Style" w:eastAsia="Bookman Old Style" w:hAnsi="Bookman Old Style" w:cs="Bookman Old Style"/>
          <w:color w:val="000000"/>
          <w:sz w:val="22"/>
          <w:szCs w:val="22"/>
        </w:rPr>
        <w:lastRenderedPageBreak/>
        <w:t xml:space="preserve">pronunciamiento del Alto Tribunal Constitucional frente a la relación existente entre los seres humanos y los animales. La Corte manifiesta que la tenencia de animales es un claro desarrollo de los derechos al libre desarrollo de la personalidad y a la intimidad personal y familiar. </w:t>
      </w:r>
    </w:p>
    <w:p w14:paraId="0FE33B04"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B5BCCDD"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 xml:space="preserve">Sentencia C-1190 de 2005. </w:t>
      </w:r>
      <w:r w:rsidRPr="007D31A4">
        <w:rPr>
          <w:rFonts w:ascii="Bookman Old Style" w:eastAsia="Bookman Old Style" w:hAnsi="Bookman Old Style" w:cs="Bookman Old Style"/>
          <w:color w:val="000000"/>
          <w:sz w:val="22"/>
          <w:szCs w:val="22"/>
        </w:rPr>
        <w:t xml:space="preserve">Corte Constitucional. Demanda de inconstitucionalidad contra los artículos 15, literal d) y 82 (parcial) de la Ley 916 de 2004, </w:t>
      </w:r>
      <w:r w:rsidRPr="007D31A4">
        <w:rPr>
          <w:rFonts w:ascii="Bookman Old Style" w:eastAsia="Bookman Old Style" w:hAnsi="Bookman Old Style" w:cs="Bookman Old Style"/>
          <w:i/>
          <w:color w:val="000000"/>
          <w:sz w:val="22"/>
          <w:szCs w:val="22"/>
        </w:rPr>
        <w:t>“Por la cual se establece el Reglamento Nacional Taurino”</w:t>
      </w:r>
      <w:r w:rsidRPr="007D31A4">
        <w:rPr>
          <w:rFonts w:ascii="Bookman Old Style" w:eastAsia="Bookman Old Style" w:hAnsi="Bookman Old Style" w:cs="Bookman Old Style"/>
          <w:color w:val="000000"/>
          <w:sz w:val="22"/>
          <w:szCs w:val="22"/>
        </w:rPr>
        <w:t>. Sentencia que busca acabar con los monopolios en el gremio taurino.</w:t>
      </w:r>
    </w:p>
    <w:p w14:paraId="2BCF0DE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1554C0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Sentencia C-1192 de 2005</w:t>
      </w:r>
      <w:r w:rsidRPr="007D31A4">
        <w:rPr>
          <w:rFonts w:ascii="Bookman Old Style" w:eastAsia="Bookman Old Style" w:hAnsi="Bookman Old Style" w:cs="Bookman Old Style"/>
          <w:color w:val="000000"/>
          <w:sz w:val="22"/>
          <w:szCs w:val="22"/>
        </w:rPr>
        <w:t xml:space="preserve">. Corte Constitucional. Demanda de inconstitucionalidad contra los artículos 1º, 2º, 22 y 80 parciales de la Ley 916 de 2004 </w:t>
      </w:r>
      <w:r w:rsidRPr="007D31A4">
        <w:rPr>
          <w:rFonts w:ascii="Bookman Old Style" w:eastAsia="Bookman Old Style" w:hAnsi="Bookman Old Style" w:cs="Bookman Old Style"/>
          <w:i/>
          <w:color w:val="000000"/>
          <w:sz w:val="22"/>
          <w:szCs w:val="22"/>
        </w:rPr>
        <w:t>“Por la cual se establece el Reglamento Nacional Taurino”</w:t>
      </w:r>
      <w:r w:rsidRPr="007D31A4">
        <w:rPr>
          <w:rFonts w:ascii="Bookman Old Style" w:eastAsia="Bookman Old Style" w:hAnsi="Bookman Old Style" w:cs="Bookman Old Style"/>
          <w:color w:val="000000"/>
          <w:sz w:val="22"/>
          <w:szCs w:val="22"/>
        </w:rPr>
        <w:t xml:space="preserve">. </w:t>
      </w:r>
    </w:p>
    <w:p w14:paraId="0052A514"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D939F64"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color w:val="000000"/>
          <w:sz w:val="22"/>
          <w:szCs w:val="22"/>
        </w:rPr>
        <w:t xml:space="preserve">En esta oportunidad, el Alto Tribunal Constitucional estudió el reconocimiento que el legislador hizo de las prácticas taurinas como actividades culturales. Al respecto, concluyó que </w:t>
      </w:r>
      <w:r w:rsidRPr="007D31A4">
        <w:rPr>
          <w:rFonts w:ascii="Bookman Old Style" w:eastAsia="Bookman Old Style" w:hAnsi="Bookman Old Style" w:cs="Bookman Old Style"/>
          <w:i/>
          <w:color w:val="000000"/>
          <w:sz w:val="22"/>
          <w:szCs w:val="22"/>
        </w:rPr>
        <w:t>“Esta calificación satisface el criterio jurídico de razonabilidad, pues como manifestación de la diversidad y pluralismo de la sociedad, la tauromaquia, o en otra palabras, “el arte de lidiar toros”</w:t>
      </w:r>
      <w:hyperlink r:id="rId8" w:anchor="_ftn33" w:history="1">
        <w:r w:rsidRPr="007D31A4">
          <w:rPr>
            <w:rFonts w:ascii="Bookman Old Style" w:eastAsia="Bookman Old Style" w:hAnsi="Bookman Old Style" w:cs="Bookman Old Style"/>
            <w:i/>
            <w:color w:val="000000"/>
            <w:sz w:val="22"/>
            <w:szCs w:val="22"/>
          </w:rPr>
          <w:t>[33]</w:t>
        </w:r>
      </w:hyperlink>
      <w:r w:rsidRPr="007D31A4">
        <w:rPr>
          <w:rFonts w:ascii="Bookman Old Style" w:eastAsia="Bookman Old Style" w:hAnsi="Bookman Old Style" w:cs="Bookman Old Style"/>
          <w:i/>
          <w:color w:val="000000"/>
          <w:sz w:val="22"/>
          <w:szCs w:val="22"/>
        </w:rPr>
        <w:t>, ha sido reconocida a lo largo de la historia como una expresión artística y cultural de los pueblos iberoamericanos.</w:t>
      </w:r>
      <w:r w:rsidRPr="007D31A4">
        <w:rPr>
          <w:rStyle w:val="Refdenotaalpie"/>
          <w:rFonts w:ascii="Bookman Old Style" w:eastAsia="Bookman Old Style" w:hAnsi="Bookman Old Style" w:cs="Bookman Old Style"/>
          <w:i/>
          <w:color w:val="000000"/>
          <w:sz w:val="22"/>
          <w:szCs w:val="22"/>
        </w:rPr>
        <w:footnoteReference w:id="1"/>
      </w:r>
      <w:r w:rsidRPr="007D31A4">
        <w:rPr>
          <w:rFonts w:ascii="Bookman Old Style" w:eastAsia="Bookman Old Style" w:hAnsi="Bookman Old Style" w:cs="Bookman Old Style"/>
          <w:i/>
          <w:color w:val="000000"/>
          <w:sz w:val="22"/>
          <w:szCs w:val="22"/>
        </w:rPr>
        <w:t>”</w:t>
      </w:r>
    </w:p>
    <w:p w14:paraId="2356C933" w14:textId="77777777" w:rsidR="00616F28" w:rsidRPr="007D31A4" w:rsidRDefault="00616F28" w:rsidP="00616F28">
      <w:pPr>
        <w:pBdr>
          <w:top w:val="nil"/>
          <w:left w:val="nil"/>
          <w:bottom w:val="nil"/>
          <w:right w:val="nil"/>
          <w:between w:val="nil"/>
        </w:pBdr>
        <w:jc w:val="both"/>
        <w:rPr>
          <w:rFonts w:ascii="Bookman Old Style" w:hAnsi="Bookman Old Style"/>
          <w:color w:val="000000" w:themeColor="text1"/>
          <w:sz w:val="22"/>
          <w:szCs w:val="22"/>
        </w:rPr>
      </w:pPr>
    </w:p>
    <w:p w14:paraId="537173C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Frente al rechazo de estas prácticas por parte de un importante sector social, la Corte manifestó que “</w:t>
      </w:r>
      <w:r w:rsidRPr="007D31A4">
        <w:rPr>
          <w:rFonts w:ascii="Bookman Old Style" w:eastAsia="Bookman Old Style" w:hAnsi="Bookman Old Style" w:cs="Bookman Old Style"/>
          <w:i/>
          <w:color w:val="000000"/>
          <w:sz w:val="22"/>
          <w:szCs w:val="22"/>
        </w:rPr>
        <w:t>a pesar de que la actividad taurina es reprobada por un sector de la población, y en especial, por las asociaciones defensoras de animales, no puede desconocerse que la misma históricamente ha sido reconocida como una</w:t>
      </w:r>
      <w:r w:rsidRPr="007D31A4">
        <w:rPr>
          <w:rFonts w:eastAsia="Bookman Old Style" w:cs="Bookman Old Style"/>
          <w:i/>
          <w:color w:val="000000"/>
          <w:sz w:val="22"/>
          <w:szCs w:val="22"/>
        </w:rPr>
        <w:t> </w:t>
      </w:r>
      <w:r w:rsidRPr="007D31A4">
        <w:rPr>
          <w:rFonts w:ascii="Bookman Old Style" w:eastAsia="Bookman Old Style" w:hAnsi="Bookman Old Style" w:cs="Bookman Old Style"/>
          <w:i/>
          <w:color w:val="000000"/>
          <w:sz w:val="22"/>
          <w:szCs w:val="22"/>
        </w:rPr>
        <w:t>expresión artística</w:t>
      </w:r>
      <w:r w:rsidRPr="007D31A4">
        <w:rPr>
          <w:rFonts w:eastAsia="Bookman Old Style" w:cs="Bookman Old Style"/>
          <w:i/>
          <w:color w:val="000000"/>
          <w:sz w:val="22"/>
          <w:szCs w:val="22"/>
        </w:rPr>
        <w:t> </w:t>
      </w:r>
      <w:r w:rsidRPr="007D31A4">
        <w:rPr>
          <w:rFonts w:ascii="Bookman Old Style" w:eastAsia="Bookman Old Style" w:hAnsi="Bookman Old Style" w:cs="Bookman Old Style"/>
          <w:i/>
          <w:color w:val="000000"/>
          <w:sz w:val="22"/>
          <w:szCs w:val="22"/>
        </w:rPr>
        <w:t xml:space="preserve">que manifiesta la diversidad cultural de un pueblo”. </w:t>
      </w:r>
      <w:r w:rsidRPr="007D31A4">
        <w:rPr>
          <w:rFonts w:ascii="Bookman Old Style" w:eastAsia="Bookman Old Style" w:hAnsi="Bookman Old Style" w:cs="Bookman Old Style"/>
          <w:color w:val="000000"/>
          <w:sz w:val="22"/>
          <w:szCs w:val="22"/>
        </w:rPr>
        <w:t xml:space="preserve">En ese sentido, declaró exequible el Reglamento Nacional Taurino y, entre otras decisiones, manifestó que la disposición que habilitaba a los menores de 10 años a asistir a corridas de toros en compañía de un adulto se encontraba ajustada a la constitución, en tanto garantizaba derechos como la cultura, la educación y la recreación. </w:t>
      </w:r>
    </w:p>
    <w:p w14:paraId="427399B8"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7DD0E6B"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 xml:space="preserve">Sentencia C-367 de 2006. </w:t>
      </w:r>
      <w:r w:rsidRPr="007D31A4">
        <w:rPr>
          <w:rFonts w:ascii="Bookman Old Style" w:eastAsia="Bookman Old Style" w:hAnsi="Bookman Old Style" w:cs="Bookman Old Style"/>
          <w:color w:val="000000"/>
          <w:sz w:val="22"/>
          <w:szCs w:val="22"/>
        </w:rPr>
        <w:t>Corte Constitucional. Demanda de inconstitucionalidad contra los artículos 1º, parcial; 2º, parcial; 12, parcial; 22, parcial; 26, parcial; 31, parcial y 80, parcial de la Ley 916 de 2004</w:t>
      </w:r>
      <w:r w:rsidRPr="007D31A4">
        <w:rPr>
          <w:rFonts w:ascii="Bookman Old Style" w:eastAsia="Bookman Old Style" w:hAnsi="Bookman Old Style" w:cs="Bookman Old Style"/>
          <w:i/>
          <w:color w:val="000000"/>
          <w:sz w:val="22"/>
          <w:szCs w:val="22"/>
        </w:rPr>
        <w:t>, "Por la cual se establece el reglamento nacional taurino."</w:t>
      </w:r>
      <w:r w:rsidRPr="007D31A4">
        <w:rPr>
          <w:rFonts w:ascii="Bookman Old Style" w:eastAsia="Bookman Old Style" w:hAnsi="Bookman Old Style" w:cs="Bookman Old Style"/>
          <w:color w:val="000000"/>
          <w:sz w:val="22"/>
          <w:szCs w:val="22"/>
        </w:rPr>
        <w:t xml:space="preserve"> </w:t>
      </w:r>
    </w:p>
    <w:p w14:paraId="267F1243"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73EC63B0"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Principalmente se cuestiona el desarrollo de actividades taurinas por parte de los niños y su participación en estas actividades (en calidad de torerillos o a través de escuelas taurinas). Adicionalmente, se solicita la declaratoria de </w:t>
      </w:r>
      <w:proofErr w:type="spellStart"/>
      <w:r w:rsidRPr="007D31A4">
        <w:rPr>
          <w:rFonts w:ascii="Bookman Old Style" w:eastAsia="Bookman Old Style" w:hAnsi="Bookman Old Style" w:cs="Bookman Old Style"/>
          <w:color w:val="000000"/>
          <w:sz w:val="22"/>
          <w:szCs w:val="22"/>
        </w:rPr>
        <w:t>inexequibilidad</w:t>
      </w:r>
      <w:proofErr w:type="spellEnd"/>
      <w:r w:rsidRPr="007D31A4">
        <w:rPr>
          <w:rFonts w:ascii="Bookman Old Style" w:eastAsia="Bookman Old Style" w:hAnsi="Bookman Old Style" w:cs="Bookman Old Style"/>
          <w:color w:val="000000"/>
          <w:sz w:val="22"/>
          <w:szCs w:val="22"/>
        </w:rPr>
        <w:t xml:space="preserve"> del Reglamento Taurino, en tanto regula una actividad que no requiere desarrollo profesional y le otorga una connotación de relevancia nacional, desconociendo que se trata de una actividad privada que no es del recibo de la sociedad en general.</w:t>
      </w:r>
    </w:p>
    <w:p w14:paraId="4EB93E7D"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39F1C73"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lastRenderedPageBreak/>
        <w:t xml:space="preserve">En lo que respecta a las corridas de toros como actividad cultural y a la aplicación de la Ley 916 de 2004 en todo el territorio nacional, la Corte reiteró lo dispuesto en la sentencia C-1192 de 2005. </w:t>
      </w:r>
    </w:p>
    <w:p w14:paraId="7A1335D9"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E05D060"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Frente al cargo relativo a la inconstitucionalidad de la disposición que permite a los niños formar parte de cuadrillas, la Corte declaró una exequibilidad condicionada en tanto no mediara, en ningún caso, explotación económica y los niños fuesen mayores de 14 años. En esta misma línea, el Alto Tribunal determinó que era constitucional la existencia de escuelas taurinas pero que en ningún caso el Estado debía promoverlas.</w:t>
      </w:r>
    </w:p>
    <w:p w14:paraId="5017C72B"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B40A3B9"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Finalmente, la Corte declaró inexequible las disposiciones del Reglamento Taurino que determinaban que la tauromaquia era una actividad de alto interés nacional </w:t>
      </w:r>
    </w:p>
    <w:p w14:paraId="39D5C7A6"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5959042B"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Sentencia C-666 de 2010</w:t>
      </w:r>
      <w:r w:rsidRPr="007D31A4">
        <w:rPr>
          <w:rFonts w:ascii="Bookman Old Style" w:eastAsia="Bookman Old Style" w:hAnsi="Bookman Old Style" w:cs="Bookman Old Style"/>
          <w:color w:val="000000"/>
          <w:sz w:val="22"/>
          <w:szCs w:val="22"/>
        </w:rPr>
        <w:t xml:space="preserve">. Corte Constitucional. Demanda de inconstitucionalidad contra el artículo 7º de la ley 84 de 1989 que exceptúa de las actividades que constituyen actos crueles en contra de los animales el rejoneo, coleo, las corridas de toros, las novilladas, las corralejas, las becerradas y las tientas, </w:t>
      </w:r>
      <w:proofErr w:type="spellStart"/>
      <w:r w:rsidRPr="007D31A4">
        <w:rPr>
          <w:rFonts w:ascii="Bookman Old Style" w:eastAsia="Bookman Old Style" w:hAnsi="Bookman Old Style" w:cs="Bookman Old Style"/>
          <w:color w:val="000000"/>
          <w:sz w:val="22"/>
          <w:szCs w:val="22"/>
        </w:rPr>
        <w:t>asi</w:t>
      </w:r>
      <w:proofErr w:type="spellEnd"/>
      <w:r w:rsidRPr="007D31A4">
        <w:rPr>
          <w:rFonts w:ascii="Bookman Old Style" w:eastAsia="Bookman Old Style" w:hAnsi="Bookman Old Style" w:cs="Bookman Old Style"/>
          <w:color w:val="000000"/>
          <w:sz w:val="22"/>
          <w:szCs w:val="22"/>
        </w:rPr>
        <w:t xml:space="preserve">́ como las </w:t>
      </w:r>
      <w:proofErr w:type="spellStart"/>
      <w:r w:rsidRPr="007D31A4">
        <w:rPr>
          <w:rFonts w:ascii="Bookman Old Style" w:eastAsia="Bookman Old Style" w:hAnsi="Bookman Old Style" w:cs="Bookman Old Style"/>
          <w:color w:val="000000"/>
          <w:sz w:val="22"/>
          <w:szCs w:val="22"/>
        </w:rPr>
        <w:t>riñas</w:t>
      </w:r>
      <w:proofErr w:type="spellEnd"/>
      <w:r w:rsidRPr="007D31A4">
        <w:rPr>
          <w:rFonts w:ascii="Bookman Old Style" w:eastAsia="Bookman Old Style" w:hAnsi="Bookman Old Style" w:cs="Bookman Old Style"/>
          <w:color w:val="000000"/>
          <w:sz w:val="22"/>
          <w:szCs w:val="22"/>
        </w:rPr>
        <w:t xml:space="preserve"> de gallos y los procedimientos utilizados en estos </w:t>
      </w:r>
      <w:proofErr w:type="spellStart"/>
      <w:r w:rsidRPr="007D31A4">
        <w:rPr>
          <w:rFonts w:ascii="Bookman Old Style" w:eastAsia="Bookman Old Style" w:hAnsi="Bookman Old Style" w:cs="Bookman Old Style"/>
          <w:color w:val="000000"/>
          <w:sz w:val="22"/>
          <w:szCs w:val="22"/>
        </w:rPr>
        <w:t>espectáculos</w:t>
      </w:r>
      <w:proofErr w:type="spellEnd"/>
      <w:r w:rsidRPr="007D31A4">
        <w:rPr>
          <w:rFonts w:ascii="Bookman Old Style" w:eastAsia="Bookman Old Style" w:hAnsi="Bookman Old Style" w:cs="Bookman Old Style"/>
          <w:color w:val="000000"/>
          <w:sz w:val="22"/>
          <w:szCs w:val="22"/>
        </w:rPr>
        <w:t>.</w:t>
      </w:r>
    </w:p>
    <w:p w14:paraId="4701CFCB"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B8D8759"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Esta sentencia tiene una especial relevancia en materia de protección y bienestar animal, en tanto fija las bases del cambio jurisprudencial que, hasta la fecha, había hecho prevalecer el desarrollo de las actividades culturales sobre la eliminación de las formas de maltrato y violencia contra los animales.</w:t>
      </w:r>
    </w:p>
    <w:p w14:paraId="6F8E2AAF"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C08751C"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Si bien en aquella oportunidad se declaró exequible el artículo 7° de la Ley 84 de 1989, dicha exequibilidad fue condicionada en tanto únicamente se permitió la realización de rejoneo, coleo, corridas de toros, novilladas, corralejas, becerradas, tientas y riñas de gallos, bajo las siguientes condiciones:</w:t>
      </w:r>
    </w:p>
    <w:p w14:paraId="2B817EA0"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1E39698" w14:textId="77777777" w:rsidR="00616F28" w:rsidRPr="007D31A4" w:rsidRDefault="00616F28" w:rsidP="00616F28">
      <w:pPr>
        <w:pStyle w:val="Prrafodelista"/>
        <w:numPr>
          <w:ilvl w:val="0"/>
          <w:numId w:val="41"/>
        </w:numPr>
        <w:ind w:left="872" w:right="900" w:hanging="22"/>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 xml:space="preserve">Las manifestaciones culturales en las cuales se permite excepcionalmente el maltrato animal deben ser reguladas de manera tal que se garantice en la mayor medida posible el deber de protección animal. </w:t>
      </w:r>
      <w:r w:rsidRPr="007D31A4">
        <w:rPr>
          <w:rFonts w:ascii="Bookman Old Style" w:hAnsi="Bookman Old Style"/>
          <w:b/>
          <w:i/>
          <w:color w:val="000000" w:themeColor="text1"/>
          <w:sz w:val="22"/>
          <w:szCs w:val="22"/>
        </w:rPr>
        <w:t xml:space="preserve">Existe el deber estatal de expedir normas de rango legal e </w:t>
      </w:r>
      <w:proofErr w:type="spellStart"/>
      <w:r w:rsidRPr="007D31A4">
        <w:rPr>
          <w:rFonts w:ascii="Bookman Old Style" w:hAnsi="Bookman Old Style"/>
          <w:b/>
          <w:i/>
          <w:color w:val="000000" w:themeColor="text1"/>
          <w:sz w:val="22"/>
          <w:szCs w:val="22"/>
        </w:rPr>
        <w:t>infralegal</w:t>
      </w:r>
      <w:proofErr w:type="spellEnd"/>
      <w:r w:rsidRPr="007D31A4">
        <w:rPr>
          <w:rFonts w:ascii="Bookman Old Style" w:hAnsi="Bookman Old Style"/>
          <w:b/>
          <w:i/>
          <w:color w:val="000000" w:themeColor="text1"/>
          <w:sz w:val="22"/>
          <w:szCs w:val="22"/>
        </w:rPr>
        <w:t xml:space="preserve"> que subsanen el déficit normativo actualmente existente</w:t>
      </w:r>
      <w:r w:rsidRPr="007D31A4">
        <w:rPr>
          <w:rFonts w:ascii="Bookman Old Style" w:hAnsi="Bookman Old Style"/>
          <w:i/>
          <w:color w:val="000000" w:themeColor="text1"/>
          <w:sz w:val="22"/>
          <w:szCs w:val="22"/>
        </w:rPr>
        <w:t xml:space="preserve"> de manera que cobije no sólo las manifestaciones culturales aludidas por el artículo 7 de la Ley 84 de 1989 sino el conjunto de actividades conexas con las mismas, tales como la crianza, el adiestramiento y el transporte de los animales.</w:t>
      </w:r>
    </w:p>
    <w:p w14:paraId="33151039" w14:textId="77777777" w:rsidR="00616F28" w:rsidRPr="007D31A4" w:rsidRDefault="00616F28" w:rsidP="00616F28">
      <w:pPr>
        <w:pStyle w:val="Prrafodelista"/>
        <w:ind w:left="851" w:right="900" w:hanging="22"/>
        <w:jc w:val="both"/>
        <w:rPr>
          <w:rFonts w:ascii="Bookman Old Style" w:hAnsi="Bookman Old Style"/>
          <w:i/>
          <w:color w:val="000000" w:themeColor="text1"/>
          <w:sz w:val="22"/>
          <w:szCs w:val="22"/>
        </w:rPr>
      </w:pPr>
    </w:p>
    <w:p w14:paraId="4A1C2DBA" w14:textId="77777777" w:rsidR="00616F28" w:rsidRPr="007D31A4" w:rsidRDefault="00616F28" w:rsidP="00616F28">
      <w:pPr>
        <w:pStyle w:val="Prrafodelista"/>
        <w:numPr>
          <w:ilvl w:val="0"/>
          <w:numId w:val="41"/>
        </w:numPr>
        <w:ind w:left="872" w:right="900" w:hanging="22"/>
        <w:jc w:val="both"/>
        <w:rPr>
          <w:rFonts w:ascii="Bookman Old Style" w:eastAsia="Bookman Old Style" w:hAnsi="Bookman Old Style" w:cs="Bookman Old Style"/>
          <w:i/>
          <w:color w:val="000000"/>
          <w:sz w:val="22"/>
          <w:szCs w:val="22"/>
        </w:rPr>
      </w:pPr>
      <w:r w:rsidRPr="007D31A4">
        <w:rPr>
          <w:rFonts w:ascii="Bookman Old Style" w:hAnsi="Bookman Old Style"/>
          <w:i/>
          <w:color w:val="000000" w:themeColor="text1"/>
          <w:sz w:val="22"/>
          <w:szCs w:val="22"/>
        </w:rPr>
        <w:t xml:space="preserve">No podría entenderse que las actividades exceptuadas puedan realizarse en cualquier parte del territorio nacional, sino sólo en </w:t>
      </w:r>
      <w:r w:rsidRPr="007D31A4">
        <w:rPr>
          <w:rFonts w:ascii="Bookman Old Style" w:hAnsi="Bookman Old Style"/>
          <w:i/>
          <w:color w:val="000000" w:themeColor="text1"/>
          <w:sz w:val="22"/>
          <w:szCs w:val="22"/>
        </w:rPr>
        <w:lastRenderedPageBreak/>
        <w:t>aquellas en las que implique una manifestación ininterrumpida de tradición de dicha población.</w:t>
      </w:r>
    </w:p>
    <w:p w14:paraId="36131C4D" w14:textId="77777777" w:rsidR="00616F28" w:rsidRPr="007D31A4" w:rsidRDefault="00616F28" w:rsidP="00616F28">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163186C0" w14:textId="77777777" w:rsidR="00616F28" w:rsidRPr="007D31A4" w:rsidRDefault="00616F28" w:rsidP="00616F28">
      <w:pPr>
        <w:pStyle w:val="Prrafodelista"/>
        <w:numPr>
          <w:ilvl w:val="0"/>
          <w:numId w:val="41"/>
        </w:numPr>
        <w:ind w:left="872" w:right="900" w:hanging="22"/>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La realización de dichas actividades deberá estar limitada a las precisas ocasiones en que usualmente éstas se han llevado a cabo, no pudiendo extenderse a otros momentos del año o lugares distintos a aquellos en los que resulta</w:t>
      </w:r>
      <w:r w:rsidRPr="007D31A4">
        <w:rPr>
          <w:rStyle w:val="apple-converted-space"/>
          <w:rFonts w:ascii="Bookman Old Style" w:hAnsi="Bookman Old Style"/>
          <w:i/>
          <w:color w:val="000000" w:themeColor="text1"/>
          <w:sz w:val="22"/>
          <w:szCs w:val="22"/>
        </w:rPr>
        <w:t> </w:t>
      </w:r>
      <w:r w:rsidRPr="007D31A4">
        <w:rPr>
          <w:rFonts w:ascii="Bookman Old Style" w:hAnsi="Bookman Old Style"/>
          <w:i/>
          <w:iCs/>
          <w:color w:val="000000" w:themeColor="text1"/>
          <w:sz w:val="22"/>
          <w:szCs w:val="22"/>
        </w:rPr>
        <w:t>tradicional</w:t>
      </w:r>
      <w:r w:rsidRPr="007D31A4">
        <w:rPr>
          <w:rStyle w:val="apple-converted-space"/>
          <w:rFonts w:ascii="Bookman Old Style" w:hAnsi="Bookman Old Style"/>
          <w:i/>
          <w:iCs/>
          <w:color w:val="000000" w:themeColor="text1"/>
          <w:sz w:val="22"/>
          <w:szCs w:val="22"/>
        </w:rPr>
        <w:t> </w:t>
      </w:r>
      <w:r w:rsidRPr="007D31A4">
        <w:rPr>
          <w:rFonts w:ascii="Bookman Old Style" w:hAnsi="Bookman Old Style"/>
          <w:i/>
          <w:color w:val="000000" w:themeColor="text1"/>
          <w:sz w:val="22"/>
          <w:szCs w:val="22"/>
        </w:rPr>
        <w:t>su realización.</w:t>
      </w:r>
    </w:p>
    <w:p w14:paraId="050B1FE3" w14:textId="77777777" w:rsidR="00616F28" w:rsidRPr="007D31A4" w:rsidRDefault="00616F28" w:rsidP="00616F28">
      <w:pPr>
        <w:ind w:left="851" w:right="900" w:hanging="22"/>
        <w:jc w:val="both"/>
        <w:rPr>
          <w:rFonts w:ascii="Bookman Old Style" w:hAnsi="Bookman Old Style"/>
          <w:i/>
          <w:color w:val="000000" w:themeColor="text1"/>
          <w:sz w:val="22"/>
          <w:szCs w:val="22"/>
        </w:rPr>
      </w:pPr>
    </w:p>
    <w:p w14:paraId="16D2FA6B" w14:textId="77777777" w:rsidR="00616F28" w:rsidRPr="007D31A4" w:rsidRDefault="00616F28" w:rsidP="00616F28">
      <w:pPr>
        <w:pStyle w:val="Prrafodelista"/>
        <w:numPr>
          <w:ilvl w:val="0"/>
          <w:numId w:val="41"/>
        </w:numPr>
        <w:ind w:left="872" w:right="900" w:hanging="22"/>
        <w:jc w:val="both"/>
        <w:rPr>
          <w:rFonts w:ascii="Bookman Old Style" w:eastAsia="Bookman Old Style" w:hAnsi="Bookman Old Style" w:cs="Bookman Old Style"/>
          <w:i/>
          <w:color w:val="000000"/>
          <w:sz w:val="22"/>
          <w:szCs w:val="22"/>
        </w:rPr>
      </w:pPr>
      <w:r w:rsidRPr="007D31A4">
        <w:rPr>
          <w:rFonts w:ascii="Bookman Old Style" w:hAnsi="Bookman Old Style"/>
          <w:i/>
          <w:color w:val="000000" w:themeColor="text1"/>
          <w:sz w:val="22"/>
          <w:szCs w:val="22"/>
        </w:rPr>
        <w:t>Las manifestaciones culturales en las cuales está permitido el maltrato animal son aquellas mencionadas por el artículo 7 de la Ley 84 de 1989, no se entienden incluidas dentro de la excepción al deber de protección animal otras expresiones que no hayan sido contempladas en la disposición acusada.</w:t>
      </w:r>
    </w:p>
    <w:p w14:paraId="36DDA221" w14:textId="77777777" w:rsidR="00616F28" w:rsidRPr="007D31A4" w:rsidRDefault="00616F28" w:rsidP="00616F28">
      <w:pPr>
        <w:pBdr>
          <w:top w:val="nil"/>
          <w:left w:val="nil"/>
          <w:bottom w:val="nil"/>
          <w:right w:val="nil"/>
          <w:between w:val="nil"/>
        </w:pBdr>
        <w:ind w:left="851" w:right="900" w:hanging="22"/>
        <w:jc w:val="both"/>
        <w:rPr>
          <w:rFonts w:ascii="Bookman Old Style" w:eastAsia="Bookman Old Style" w:hAnsi="Bookman Old Style" w:cs="Bookman Old Style"/>
          <w:i/>
          <w:color w:val="000000"/>
          <w:sz w:val="22"/>
          <w:szCs w:val="22"/>
        </w:rPr>
      </w:pPr>
    </w:p>
    <w:p w14:paraId="6FA19BDC" w14:textId="77777777" w:rsidR="00616F28" w:rsidRPr="007D31A4" w:rsidRDefault="00616F28" w:rsidP="00616F28">
      <w:pPr>
        <w:pStyle w:val="Prrafodelista"/>
        <w:numPr>
          <w:ilvl w:val="0"/>
          <w:numId w:val="41"/>
        </w:numPr>
        <w:ind w:left="872" w:right="900" w:hanging="22"/>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Las autoridades municipales en ningún caso podrán destinar dinero público a la construcción de instalaciones para la realización exclusiva de estas actividades.</w:t>
      </w:r>
    </w:p>
    <w:p w14:paraId="25E538E4" w14:textId="77777777" w:rsidR="00616F28" w:rsidRPr="007D31A4" w:rsidRDefault="00616F28" w:rsidP="00616F28">
      <w:pPr>
        <w:pStyle w:val="Prrafodelista"/>
        <w:pBdr>
          <w:top w:val="nil"/>
          <w:left w:val="nil"/>
          <w:bottom w:val="nil"/>
          <w:right w:val="nil"/>
          <w:between w:val="nil"/>
        </w:pBdr>
        <w:ind w:left="1440"/>
        <w:jc w:val="both"/>
        <w:rPr>
          <w:rFonts w:ascii="Bookman Old Style" w:eastAsia="Bookman Old Style" w:hAnsi="Bookman Old Style" w:cs="Bookman Old Style"/>
          <w:color w:val="000000"/>
          <w:sz w:val="22"/>
          <w:szCs w:val="22"/>
        </w:rPr>
      </w:pPr>
    </w:p>
    <w:p w14:paraId="65C440F1"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Pero, además de la imposición de estos requisitos, la Sentencia C-666 de 2010 desarrolló el principio de protección animal y determinó que se encontraba directamente ligado con el concepto de dignidad humana.</w:t>
      </w:r>
    </w:p>
    <w:p w14:paraId="34FC4DA5"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E3B829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Teniendo en cuenta la relevancia de esta decisión, no solo para el proyecto que nos ocupa, sino para la línea jurisprudencial sobre los animales, a continuación, se resaltarán algunos de los apartes más relevantes.</w:t>
      </w:r>
    </w:p>
    <w:p w14:paraId="5C0DB7E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5557CC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En primer lugar, en lo que respecta al a inclusión de los animales dentro del concepto de ambiente y, en consecuencia, de los mandatos constitucionales frente a la protección del mismo, el Alto Tribunal resaltó lo siguiente:</w:t>
      </w:r>
    </w:p>
    <w:p w14:paraId="0BA09FEF"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C244BCC"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 –o ambiente- en el que desarrolla su existencia</w:t>
      </w:r>
    </w:p>
    <w:p w14:paraId="077C9EE4"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p>
    <w:p w14:paraId="52E832C5"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 xml:space="preserve">(…) En relación con su protección, la manifestación concreta de esta posición se hace a partir de dos perspectivas: la de fauna protegida en virtud del mantenimiento de la biodiversidad y el equilibrio natural de las especies; y la de fauna a la cual se debe proteger del </w:t>
      </w:r>
      <w:r w:rsidRPr="007D31A4">
        <w:rPr>
          <w:rFonts w:ascii="Bookman Old Style" w:hAnsi="Bookman Old Style"/>
          <w:i/>
          <w:color w:val="000000" w:themeColor="text1"/>
          <w:sz w:val="22"/>
          <w:szCs w:val="22"/>
        </w:rPr>
        <w:lastRenderedPageBreak/>
        <w:t>padecimiento, maltrato y crueldad sin justificación legítima, protección esta última que refleja un contenido de moral política y conciencia de la responsabilidad que deben tener los seres humanos respecto de los otros seres sintientes.</w:t>
      </w:r>
      <w:r w:rsidRPr="007D31A4">
        <w:rPr>
          <w:rStyle w:val="Refdenotaalpie"/>
          <w:rFonts w:ascii="Bookman Old Style" w:hAnsi="Bookman Old Style"/>
          <w:i/>
          <w:color w:val="000000" w:themeColor="text1"/>
          <w:sz w:val="22"/>
          <w:szCs w:val="22"/>
        </w:rPr>
        <w:footnoteReference w:id="2"/>
      </w:r>
      <w:r w:rsidRPr="007D31A4">
        <w:rPr>
          <w:rFonts w:ascii="Bookman Old Style" w:hAnsi="Bookman Old Style"/>
          <w:i/>
          <w:color w:val="000000" w:themeColor="text1"/>
          <w:sz w:val="22"/>
          <w:szCs w:val="22"/>
        </w:rPr>
        <w:t>.”</w:t>
      </w:r>
    </w:p>
    <w:p w14:paraId="30F09445"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874F9B4"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En esta misma línea, la Corte sentó las primeras bases para dejar de lado la concepción utilitarista de los animales, para reconocerlos como verdaderos sujetos de protección. Sobre este asunto, se dispuso que:</w:t>
      </w:r>
    </w:p>
    <w:p w14:paraId="5A9C31AD"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52A9809" w14:textId="77777777" w:rsidR="00616F28" w:rsidRPr="007D31A4" w:rsidRDefault="00616F28" w:rsidP="00616F28">
      <w:pPr>
        <w:pBdr>
          <w:top w:val="nil"/>
          <w:left w:val="nil"/>
          <w:bottom w:val="nil"/>
          <w:right w:val="nil"/>
          <w:between w:val="nil"/>
        </w:pBdr>
        <w:ind w:left="851" w:right="900"/>
        <w:jc w:val="both"/>
        <w:rPr>
          <w:rFonts w:ascii="Bookman Old Style" w:hAnsi="Bookman Old Style"/>
          <w:color w:val="000000" w:themeColor="text1"/>
          <w:sz w:val="22"/>
          <w:szCs w:val="22"/>
          <w:u w:val="single"/>
        </w:rPr>
      </w:pPr>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i/>
          <w:color w:val="000000"/>
          <w:sz w:val="22"/>
          <w:szCs w:val="22"/>
        </w:rPr>
        <w:t>“la protección que se deriva de la Constitución supera la anacrónica visión de los animales como cosas animadas, para reconocer la importancia que éstos tienen dentro del entorno en que habitan las personas, no simplemente como fuentes de recursos útiles al hombre, sino en cuanto seres sintientes que forman parte del contexto en que se desarrolla la vida de los principales sujetos del ordenamiento jurídico: los seres humanos</w:t>
      </w:r>
      <w:r w:rsidRPr="007D31A4">
        <w:rPr>
          <w:rStyle w:val="Refdenotaalpie"/>
          <w:rFonts w:ascii="Bookman Old Style" w:eastAsia="Bookman Old Style" w:hAnsi="Bookman Old Style" w:cs="Bookman Old Style"/>
          <w:i/>
          <w:color w:val="000000"/>
          <w:sz w:val="22"/>
          <w:szCs w:val="22"/>
        </w:rPr>
        <w:footnoteReference w:id="3"/>
      </w:r>
      <w:r w:rsidRPr="007D31A4">
        <w:rPr>
          <w:rFonts w:ascii="Bookman Old Style" w:eastAsia="Bookman Old Style" w:hAnsi="Bookman Old Style" w:cs="Bookman Old Style"/>
          <w:i/>
          <w:color w:val="000000"/>
          <w:sz w:val="22"/>
          <w:szCs w:val="22"/>
        </w:rPr>
        <w:t>.”</w:t>
      </w:r>
    </w:p>
    <w:p w14:paraId="3E17511C"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F8F6FB9"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Fue esta precisamente la base para que, posteriormente, en la decisión se reconociera que es la dignidad humana la fuente de obligaciones jurídicas de los humanos frente a los animales. </w:t>
      </w:r>
    </w:p>
    <w:p w14:paraId="5CBDC9CC"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7F37CC9"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 xml:space="preserve">La dignidad humana no es un simple concepto fruto [o útil para] el </w:t>
      </w:r>
      <w:proofErr w:type="spellStart"/>
      <w:r w:rsidRPr="007D31A4">
        <w:rPr>
          <w:rFonts w:ascii="Bookman Old Style" w:hAnsi="Bookman Old Style"/>
          <w:i/>
          <w:color w:val="000000" w:themeColor="text1"/>
          <w:sz w:val="22"/>
          <w:szCs w:val="22"/>
        </w:rPr>
        <w:t>garantismo</w:t>
      </w:r>
      <w:proofErr w:type="spellEnd"/>
      <w:r w:rsidRPr="007D31A4">
        <w:rPr>
          <w:rFonts w:ascii="Bookman Old Style" w:hAnsi="Bookman Old Style"/>
          <w:i/>
          <w:color w:val="000000" w:themeColor="text1"/>
          <w:sz w:val="22"/>
          <w:szCs w:val="22"/>
        </w:rPr>
        <w:t xml:space="preserve"> estatal. La dignidad resulta un concepto integral en cuanto encarna, representa y construye un concepto, integral, de persona. La dignidad no se otorga, sino que se reconoce, de manera que siempre podrá exigirse de los seres humanos un actuar conforme a parámetros dignos y, en este sentido, coherente con su condición de ser moral que merece el reconocimiento de dichas garantías y que, llegado el caso, podría exigirlas por la posición [también] moral que tiene dentro de la comunidad.</w:t>
      </w:r>
    </w:p>
    <w:p w14:paraId="53071784"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p>
    <w:p w14:paraId="521DFD64"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 xml:space="preserve">Pero esa misma condición moral, que sustenta el concepto de dignidad humana, genera obligaciones a esa persona [en cuanto ser digno] en su manera de actuación. No podría una persona pretender que sea reconocida su condición de ser moral y comportarse legítimamente de forma contraria a la moral que se deriva de los parámetros acordados por la propia comunidad y que son consagrados en la Constitución y demás normas de naturaleza </w:t>
      </w:r>
      <w:proofErr w:type="gramStart"/>
      <w:r w:rsidRPr="007D31A4">
        <w:rPr>
          <w:rFonts w:ascii="Bookman Old Style" w:hAnsi="Bookman Old Style"/>
          <w:i/>
          <w:color w:val="000000" w:themeColor="text1"/>
          <w:sz w:val="22"/>
          <w:szCs w:val="22"/>
        </w:rPr>
        <w:t>constitucional(</w:t>
      </w:r>
      <w:proofErr w:type="gramEnd"/>
      <w:r w:rsidRPr="007D31A4">
        <w:rPr>
          <w:rFonts w:ascii="Bookman Old Style" w:hAnsi="Bookman Old Style"/>
          <w:i/>
          <w:color w:val="000000" w:themeColor="text1"/>
          <w:sz w:val="22"/>
          <w:szCs w:val="22"/>
        </w:rPr>
        <w:t>…)</w:t>
      </w:r>
    </w:p>
    <w:p w14:paraId="638EC862"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p>
    <w:p w14:paraId="77AA3662"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 xml:space="preserve">(…) En este sentido, si en el mismo Estado constitucional se consagra el deber de protección a los animales vía la protección de los recursos naturales, el concepto de dignidad que se concreta en </w:t>
      </w:r>
      <w:r w:rsidRPr="007D31A4">
        <w:rPr>
          <w:rFonts w:ascii="Bookman Old Style" w:hAnsi="Bookman Old Style"/>
          <w:i/>
          <w:color w:val="000000" w:themeColor="text1"/>
          <w:sz w:val="22"/>
          <w:szCs w:val="22"/>
        </w:rPr>
        <w:lastRenderedPageBreak/>
        <w:t>la interacción de las personas en una comunidad que se construye dentro de estos parámetros constitucionales no podrá ignorar las relaciones que surgen entre ellas y los animales. </w:t>
      </w:r>
    </w:p>
    <w:p w14:paraId="57F54530"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 </w:t>
      </w:r>
    </w:p>
    <w:p w14:paraId="776C1861"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r w:rsidRPr="007D31A4">
        <w:rPr>
          <w:rFonts w:ascii="Bookman Old Style" w:hAnsi="Bookman Old Style"/>
          <w:i/>
          <w:color w:val="000000" w:themeColor="text1"/>
          <w:sz w:val="22"/>
          <w:szCs w:val="22"/>
        </w:rPr>
        <w:t>El fundamento para esta vinculación radica en su capacidad de sentir. Es este aspecto la raíz del vínculo en la relación entre dignidad y protección a los animales: el hecho de que sean seres sintientes que pueden ser afectados por los actos de las personas. En otras palabras, la posibilidad de que se vean afectados por tratos crueles, por acciones que comportan maltrato, por hechos que los torturen o angustien obliga a que las acciones que respecto de ellos se realicen por parte de los seres humanos sean expresión del comportamiento digno que hacia ellos deben tener seres dignos. En efecto, la superioridad racional –moral- del hombre no puede significar la ausencia de límites para causar sufrimiento, dolor o angustia a seres sintientes no humanos.</w:t>
      </w:r>
    </w:p>
    <w:p w14:paraId="08F02832"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rPr>
      </w:pPr>
    </w:p>
    <w:p w14:paraId="0042A976" w14:textId="77777777" w:rsidR="00616F28" w:rsidRPr="007D31A4" w:rsidRDefault="00616F28" w:rsidP="00616F28">
      <w:pPr>
        <w:pBdr>
          <w:top w:val="nil"/>
          <w:left w:val="nil"/>
          <w:bottom w:val="nil"/>
          <w:right w:val="nil"/>
          <w:between w:val="nil"/>
        </w:pBdr>
        <w:ind w:left="851" w:right="900"/>
        <w:jc w:val="both"/>
        <w:rPr>
          <w:rFonts w:ascii="Bookman Old Style" w:hAnsi="Bookman Old Style"/>
          <w:i/>
          <w:color w:val="000000" w:themeColor="text1"/>
          <w:sz w:val="22"/>
          <w:szCs w:val="22"/>
          <w:u w:val="single"/>
        </w:rPr>
      </w:pPr>
      <w:r w:rsidRPr="007D31A4">
        <w:rPr>
          <w:rFonts w:ascii="Bookman Old Style" w:hAnsi="Bookman Old Style"/>
          <w:i/>
          <w:color w:val="000000" w:themeColor="text1"/>
          <w:sz w:val="22"/>
          <w:szCs w:val="22"/>
          <w:u w:val="single"/>
        </w:rPr>
        <w:t>Aunque obvia, valga mencionar que la justificación radica en una apreciación fáctica incontestable: no hay interés más primario para un ser sintiente que el de no sufrir daño o maltrato. Y debe ser este uno de los valores primordiales dentro de una comunidad moral que actúa y construye sus relaciones dentro de los parámetros del Estado constitucional</w:t>
      </w:r>
      <w:r w:rsidRPr="007D31A4">
        <w:rPr>
          <w:rStyle w:val="Refdenotaalpie"/>
          <w:rFonts w:ascii="Bookman Old Style" w:hAnsi="Bookman Old Style"/>
          <w:i/>
          <w:color w:val="000000" w:themeColor="text1"/>
          <w:sz w:val="22"/>
          <w:szCs w:val="22"/>
          <w:u w:val="single"/>
        </w:rPr>
        <w:footnoteReference w:id="4"/>
      </w:r>
      <w:r w:rsidRPr="007D31A4">
        <w:rPr>
          <w:rFonts w:ascii="Bookman Old Style" w:hAnsi="Bookman Old Style"/>
          <w:i/>
          <w:color w:val="000000" w:themeColor="text1"/>
          <w:sz w:val="22"/>
          <w:szCs w:val="22"/>
          <w:u w:val="single"/>
        </w:rPr>
        <w:t>.</w:t>
      </w:r>
    </w:p>
    <w:p w14:paraId="186BB630" w14:textId="77777777" w:rsidR="00616F28" w:rsidRPr="007D31A4" w:rsidRDefault="00616F28" w:rsidP="00616F28">
      <w:pPr>
        <w:pBdr>
          <w:top w:val="nil"/>
          <w:left w:val="nil"/>
          <w:bottom w:val="nil"/>
          <w:right w:val="nil"/>
          <w:between w:val="nil"/>
        </w:pBdr>
        <w:ind w:left="720"/>
        <w:jc w:val="both"/>
        <w:rPr>
          <w:rFonts w:ascii="Bookman Old Style" w:hAnsi="Bookman Old Style"/>
          <w:i/>
          <w:color w:val="000000" w:themeColor="text1"/>
          <w:sz w:val="22"/>
          <w:szCs w:val="22"/>
        </w:rPr>
      </w:pPr>
    </w:p>
    <w:p w14:paraId="77390A41"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Ahora bien, en lo que respecta al tema particular, la demanda de inconstitucionalidad frente al rejoneo, el coleo, las corridas de toros, las novilladas, las corralejas, las becerradas, las tientas y las </w:t>
      </w:r>
      <w:proofErr w:type="spellStart"/>
      <w:r w:rsidRPr="007D31A4">
        <w:rPr>
          <w:rFonts w:ascii="Bookman Old Style" w:eastAsia="Bookman Old Style" w:hAnsi="Bookman Old Style" w:cs="Bookman Old Style"/>
          <w:color w:val="000000"/>
          <w:sz w:val="22"/>
          <w:szCs w:val="22"/>
        </w:rPr>
        <w:t>riñas</w:t>
      </w:r>
      <w:proofErr w:type="spellEnd"/>
      <w:r w:rsidRPr="007D31A4">
        <w:rPr>
          <w:rFonts w:ascii="Bookman Old Style" w:eastAsia="Bookman Old Style" w:hAnsi="Bookman Old Style" w:cs="Bookman Old Style"/>
          <w:color w:val="000000"/>
          <w:sz w:val="22"/>
          <w:szCs w:val="22"/>
        </w:rPr>
        <w:t xml:space="preserve"> de gallos, la Corte reconoció que su desarrollo implicaba el desarrollo de actividades que se enmarcan en actos de maltrato y crueldad animal. No obstante, también destacó la Corte que </w:t>
      </w:r>
    </w:p>
    <w:p w14:paraId="624B5E5F"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070512F"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“para el examen de constitucionalidad de la disposición acusada no resulta indiferente que dichas actividades hayan sido desarrolladas de tiempo atrás por algunos sectores de la sociedad y, por consiguiente, se entienden como parte de las manifestaciones que identifican a ciertas regiones dentro del territorio nacional</w:t>
      </w:r>
      <w:r w:rsidRPr="007D31A4">
        <w:rPr>
          <w:rStyle w:val="Refdenotaalpie"/>
          <w:rFonts w:ascii="Bookman Old Style" w:eastAsia="Bookman Old Style" w:hAnsi="Bookman Old Style" w:cs="Bookman Old Style"/>
          <w:i/>
          <w:color w:val="000000"/>
          <w:sz w:val="22"/>
          <w:szCs w:val="22"/>
        </w:rPr>
        <w:footnoteReference w:id="5"/>
      </w:r>
      <w:r w:rsidRPr="007D31A4">
        <w:rPr>
          <w:rFonts w:ascii="Bookman Old Style" w:eastAsia="Bookman Old Style" w:hAnsi="Bookman Old Style" w:cs="Bookman Old Style"/>
          <w:i/>
          <w:color w:val="000000"/>
          <w:sz w:val="22"/>
          <w:szCs w:val="22"/>
        </w:rPr>
        <w:t>.”</w:t>
      </w:r>
    </w:p>
    <w:p w14:paraId="6FE73669"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141F5F25"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Fue por este último argumento que el Alto Tribunal Constitucional, determinó la exequibilidad de la excepción prevista en la Ley 84 de 1989, bajo los supuestos relatados en acápites anteriores que fijaron claras limitaciones al desarrollo de estas actividades. </w:t>
      </w:r>
    </w:p>
    <w:p w14:paraId="1291DD5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0E536B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Adicionalmente, resaltó la Corte que, en ningún caso se podrían ampliar las excepciones previstas en el artículo 7 de la Ley 84 de 1989. Esto en tanto debía </w:t>
      </w:r>
      <w:r w:rsidRPr="007D31A4">
        <w:rPr>
          <w:rFonts w:ascii="Bookman Old Style" w:eastAsia="Bookman Old Style" w:hAnsi="Bookman Old Style" w:cs="Bookman Old Style"/>
          <w:color w:val="000000"/>
          <w:sz w:val="22"/>
          <w:szCs w:val="22"/>
        </w:rPr>
        <w:lastRenderedPageBreak/>
        <w:t xml:space="preserve">armonizarse esta disposición con el mandato constitucional de protección a los animales. </w:t>
      </w:r>
    </w:p>
    <w:p w14:paraId="7470B15E"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251476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Ahora bien, la providencia realizó varios llamados al legislador, como se transcriben a continuación:</w:t>
      </w:r>
    </w:p>
    <w:p w14:paraId="232D2126"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155D6368"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“Es, precisamente, este deber constitucional el que restringe el ámbito decisional de los poderes constituidos, en especial del legislador, al momento de determinar las distintas formas de regulación de los recursos naturales dentro del sistema jurídico colombiano. El que exista un deber de protección respecto de los mismos excluye automáticamente una posición de indiferencia en lo relativo a los recursos naturales, entre ellos los animales, siendo, por el contrario, preceptiva la creación de un sistema </w:t>
      </w:r>
      <w:proofErr w:type="spellStart"/>
      <w:r w:rsidRPr="007D31A4">
        <w:rPr>
          <w:rFonts w:ascii="Bookman Old Style" w:eastAsia="Bookman Old Style" w:hAnsi="Bookman Old Style" w:cs="Bookman Old Style"/>
          <w:i/>
          <w:color w:val="000000"/>
          <w:sz w:val="22"/>
          <w:szCs w:val="22"/>
        </w:rPr>
        <w:t>infraconstitucional</w:t>
      </w:r>
      <w:proofErr w:type="spellEnd"/>
      <w:r w:rsidRPr="007D31A4">
        <w:rPr>
          <w:rFonts w:ascii="Bookman Old Style" w:eastAsia="Bookman Old Style" w:hAnsi="Bookman Old Style" w:cs="Bookman Old Style"/>
          <w:i/>
          <w:color w:val="000000"/>
          <w:sz w:val="22"/>
          <w:szCs w:val="22"/>
        </w:rPr>
        <w:t>, que sea acorde con el sistema constitucional, que implique una protección para los mismos y que tenga en cuenta, armónicamente, el ejercicio de derechos fundamentales que eventualmente puedan verse limitados con la protección establecida para los animales.”</w:t>
      </w:r>
    </w:p>
    <w:p w14:paraId="3ABB53E4"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F8E13C4"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w:t>
      </w:r>
    </w:p>
    <w:p w14:paraId="48991A0C"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4892204"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“la actuación del Legislador, que en cumplimiento de su potestad de configuración normativa debe regular de manera más detallada la permisión de maltrato animal objeto de examen constitucional. Labor que debe ser complementada con el concurso de las autoridades administrativas con competencias normativas en la materia, de manera tal que se subsane el déficit normativo del deber de protección animal al que ya se hizo referencia. En este sentido deberá expedirse una regulación de rango legal e </w:t>
      </w:r>
      <w:proofErr w:type="spellStart"/>
      <w:r w:rsidRPr="007D31A4">
        <w:rPr>
          <w:rFonts w:ascii="Bookman Old Style" w:eastAsia="Bookman Old Style" w:hAnsi="Bookman Old Style" w:cs="Bookman Old Style"/>
          <w:i/>
          <w:color w:val="000000"/>
          <w:sz w:val="22"/>
          <w:szCs w:val="22"/>
        </w:rPr>
        <w:t>infralegal</w:t>
      </w:r>
      <w:proofErr w:type="spellEnd"/>
      <w:r w:rsidRPr="007D31A4">
        <w:rPr>
          <w:rFonts w:ascii="Bookman Old Style" w:eastAsia="Bookman Old Style" w:hAnsi="Bookman Old Style" w:cs="Bookman Old Style"/>
          <w:i/>
          <w:color w:val="000000"/>
          <w:sz w:val="22"/>
          <w:szCs w:val="22"/>
        </w:rPr>
        <w:t xml:space="preserve"> que determine con exactitud qué acciones que impliquen maltrato animal pueden ser realizadas en desarrollo de corridas de toros, becerradas, novilladas, rejoneos, riñas de gallos, tientas y coleo, y en las actividades conexas con dichas manifestaciones culturales, tales como la crianza, el encierro, el adiestramiento y el transporte de los animales involucrados en las mismas.”</w:t>
      </w:r>
    </w:p>
    <w:p w14:paraId="0BEABD43"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76B639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Ahora bien, respecto a la posibilidad de prohibir estas actividades, el Alto Tribunal señaló:</w:t>
      </w:r>
    </w:p>
    <w:p w14:paraId="7DD89728"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92BCAAB" w14:textId="77777777" w:rsidR="00616F28" w:rsidRPr="007D31A4" w:rsidRDefault="00616F28" w:rsidP="00616F28">
      <w:pPr>
        <w:pStyle w:val="Prrafodelista"/>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color w:val="000000"/>
          <w:sz w:val="22"/>
          <w:szCs w:val="22"/>
        </w:rPr>
        <w:t>“</w:t>
      </w:r>
      <w:r w:rsidRPr="007D31A4">
        <w:rPr>
          <w:rFonts w:ascii="Bookman Old Style" w:eastAsia="Bookman Old Style" w:hAnsi="Bookman Old Style" w:cs="Bookman Old Style"/>
          <w:i/>
          <w:color w:val="000000"/>
          <w:sz w:val="22"/>
          <w:szCs w:val="22"/>
        </w:rPr>
        <w:t xml:space="preserve">Incluso </w:t>
      </w:r>
      <w:r w:rsidRPr="007D31A4">
        <w:rPr>
          <w:rFonts w:ascii="Bookman Old Style" w:eastAsia="Bookman Old Style" w:hAnsi="Bookman Old Style" w:cs="Bookman Old Style"/>
          <w:b/>
          <w:i/>
          <w:color w:val="000000"/>
          <w:sz w:val="22"/>
          <w:szCs w:val="22"/>
          <w:u w:val="single"/>
        </w:rPr>
        <w:t xml:space="preserve">el Legislador en ejercicio de su libertad de configuración normativa puede llegar a prohibir las manifestaciones culturales que implican maltrato animal, si considera que debe primar el deber de protección sobre la excepcionalidad de las expresiones culturales que implican </w:t>
      </w:r>
      <w:r w:rsidRPr="007D31A4">
        <w:rPr>
          <w:rFonts w:ascii="Bookman Old Style" w:eastAsia="Bookman Old Style" w:hAnsi="Bookman Old Style" w:cs="Bookman Old Style"/>
          <w:b/>
          <w:i/>
          <w:color w:val="000000"/>
          <w:sz w:val="22"/>
          <w:szCs w:val="22"/>
          <w:u w:val="single"/>
        </w:rPr>
        <w:lastRenderedPageBreak/>
        <w:t>agravio a seres vivos</w:t>
      </w:r>
      <w:r w:rsidRPr="007D31A4">
        <w:rPr>
          <w:rFonts w:ascii="Bookman Old Style" w:eastAsia="Bookman Old Style" w:hAnsi="Bookman Old Style" w:cs="Bookman Old Style"/>
          <w:i/>
          <w:color w:val="000000"/>
          <w:sz w:val="22"/>
          <w:szCs w:val="22"/>
        </w:rPr>
        <w:t>, pues como lo ha defendido esta Corporación en numerosas oportunidades, la Constitución de 1991 no es estática y la permisión contenida en un cuerpo normativo preconstitucional no puede limitar la libertad de configuración del órgano representativo de acuerdo a los cambios que se produzcan en el seno de la sociedad.” (</w:t>
      </w:r>
      <w:proofErr w:type="gramStart"/>
      <w:r w:rsidRPr="007D31A4">
        <w:rPr>
          <w:rFonts w:ascii="Bookman Old Style" w:eastAsia="Bookman Old Style" w:hAnsi="Bookman Old Style" w:cs="Bookman Old Style"/>
          <w:i/>
          <w:color w:val="000000"/>
          <w:sz w:val="22"/>
          <w:szCs w:val="22"/>
        </w:rPr>
        <w:t>subrayado</w:t>
      </w:r>
      <w:proofErr w:type="gramEnd"/>
      <w:r w:rsidRPr="007D31A4">
        <w:rPr>
          <w:rFonts w:ascii="Bookman Old Style" w:eastAsia="Bookman Old Style" w:hAnsi="Bookman Old Style" w:cs="Bookman Old Style"/>
          <w:i/>
          <w:color w:val="000000"/>
          <w:sz w:val="22"/>
          <w:szCs w:val="22"/>
        </w:rPr>
        <w:t xml:space="preserve"> y negrilla fuera del texto original).</w:t>
      </w:r>
    </w:p>
    <w:p w14:paraId="200B0D1E"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302E946"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1BC172C"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Sentencia C-889 del 2012</w:t>
      </w:r>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b/>
          <w:color w:val="000000"/>
          <w:sz w:val="22"/>
          <w:szCs w:val="22"/>
        </w:rPr>
        <w:t>Corte Constitucional.</w:t>
      </w:r>
      <w:r w:rsidRPr="007D31A4">
        <w:rPr>
          <w:rFonts w:ascii="Bookman Old Style" w:eastAsia="Bookman Old Style" w:hAnsi="Bookman Old Style" w:cs="Bookman Old Style"/>
          <w:color w:val="000000"/>
          <w:sz w:val="22"/>
          <w:szCs w:val="22"/>
        </w:rPr>
        <w:t xml:space="preserve"> Demanda de inconstitucionalidad contra los artículos 14 y 15 (parciales) de la Ley 916 de 2004 </w:t>
      </w:r>
      <w:r w:rsidRPr="007D31A4">
        <w:rPr>
          <w:rFonts w:ascii="Bookman Old Style" w:eastAsia="Bookman Old Style" w:hAnsi="Bookman Old Style" w:cs="Bookman Old Style"/>
          <w:i/>
          <w:color w:val="000000"/>
          <w:sz w:val="22"/>
          <w:szCs w:val="22"/>
        </w:rPr>
        <w:t>“por la cual se establece el Reglamento Nacional Taurino.”</w:t>
      </w:r>
      <w:r w:rsidRPr="007D31A4">
        <w:rPr>
          <w:rFonts w:ascii="Bookman Old Style" w:eastAsia="Bookman Old Style" w:hAnsi="Bookman Old Style" w:cs="Bookman Old Style"/>
          <w:color w:val="000000"/>
          <w:sz w:val="22"/>
          <w:szCs w:val="22"/>
        </w:rPr>
        <w:t xml:space="preserve">  Esto en tanto considera la accionante que limita las facultades de las entidades territoriales para determinar la procedencia de la realización de corridas de toros. Esta sentencia retoma lo dispuesto en la C-666 de 2010 y al respecto refiere, que:</w:t>
      </w:r>
    </w:p>
    <w:p w14:paraId="27D1A650"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0E60ECD"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Como se observa, de las decisiones C-1192/05 y C-666/10 se colige que la jurisprudencia constitucional advierte que concurre una previsión legislativa de reconocimiento de las corridas de toros como una expresión tradicional que integra el patrimonio cultural de la Nación.  Con todo, en tanto esa práctica involucra maltrato animal, contradice el mandato superior de protección al medio ambiente, a través de la garantía del</w:t>
      </w:r>
      <w:r w:rsidRPr="007D31A4">
        <w:rPr>
          <w:rFonts w:eastAsia="Bookman Old Style" w:cs="Bookman Old Style"/>
          <w:i/>
          <w:color w:val="000000"/>
          <w:sz w:val="22"/>
          <w:szCs w:val="22"/>
        </w:rPr>
        <w:t> </w:t>
      </w:r>
      <w:r w:rsidRPr="007D31A4">
        <w:rPr>
          <w:rFonts w:ascii="Bookman Old Style" w:eastAsia="Bookman Old Style" w:hAnsi="Bookman Old Style" w:cs="Bookman Old Style"/>
          <w:i/>
          <w:color w:val="000000"/>
          <w:sz w:val="22"/>
          <w:szCs w:val="22"/>
        </w:rPr>
        <w:t>bienestar animal.  Por ende, se hace necesario imponer restricciones, también de naturaleza constitucional, sobre dichas actividades.  Estas limitaciones responden a dos planos diferenciados: (i) la exigencia de carácter cualificado a la práctica cultural, en términos de arraigo, localización, oportunidad y excepcionalidad, excluyéndose el reconocimiento estatal a las demás expresiones que no respondan a estos criterios; y (ii) el deber estatal de adelantar acciones que desincentiven las prácticas culturales que incorporan maltrato o tratos crueles a los animales.</w:t>
      </w:r>
    </w:p>
    <w:p w14:paraId="04D2A0BF"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1F6D83CC"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Más adelante, frente a la posibilidad de prohibir las actividades culturales que implican maltrato animal, y frente al cargo de inconstitucionalidad que sustentó el pronunciamiento, la Corte dispuso lo siguiente: </w:t>
      </w:r>
    </w:p>
    <w:p w14:paraId="4765FCBB"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E9D60AF" w14:textId="77777777" w:rsidR="00616F28" w:rsidRPr="007D31A4" w:rsidRDefault="00616F28" w:rsidP="00616F28">
      <w:pPr>
        <w:pStyle w:val="Prrafodelista"/>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 las autoridades locales carecen de un soporte normativo que las lleve a concluir que la actividad taurina está prohibida in genere. En contrario, se trata de un espectáculo avalado por las normas legales, pero que ha sido sometido a restricciones estrictas y específicas por parte de la Corte, en aras de hacerlo compatible con las prescripciones constitucionales relacionadas con la protección del medio ambiente.  En ese sentido, comparte unidad de sentido con otra serie de actividades que si bien no están constitucional o legalmente prohibidas, sí se someten válidamente a limitaciones, </w:t>
      </w:r>
      <w:r w:rsidRPr="007D31A4">
        <w:rPr>
          <w:rFonts w:ascii="Bookman Old Style" w:eastAsia="Bookman Old Style" w:hAnsi="Bookman Old Style" w:cs="Bookman Old Style"/>
          <w:i/>
          <w:color w:val="000000"/>
          <w:sz w:val="22"/>
          <w:szCs w:val="22"/>
        </w:rPr>
        <w:lastRenderedPageBreak/>
        <w:t>incluso intensas, pues existe el interés de desincentivarlas, como sucede con el consumo de tabaco o de bebidas embriagantes.</w:t>
      </w:r>
      <w:hyperlink r:id="rId9" w:anchor="_ftn32" w:history="1">
        <w:r w:rsidRPr="007D31A4">
          <w:rPr>
            <w:rFonts w:ascii="Bookman Old Style" w:eastAsia="Bookman Old Style" w:hAnsi="Bookman Old Style" w:cs="Bookman Old Style"/>
            <w:i/>
            <w:color w:val="000000"/>
            <w:sz w:val="22"/>
            <w:szCs w:val="22"/>
          </w:rPr>
          <w:t>[32]</w:t>
        </w:r>
      </w:hyperlink>
      <w:r w:rsidRPr="007D31A4">
        <w:rPr>
          <w:rFonts w:ascii="Bookman Old Style" w:eastAsia="Bookman Old Style" w:hAnsi="Bookman Old Style" w:cs="Bookman Old Style"/>
          <w:i/>
          <w:color w:val="000000"/>
          <w:sz w:val="22"/>
          <w:szCs w:val="22"/>
        </w:rPr>
        <w:t> A su vez, como se trata de una actividad controversial y que compromete posiciones jurídicas constitucionalmente relevantes, bien puede ser restringida por el legislador, al grado de prohibición general.  Sin embargo, consideraciones básicas derivadas de la eficacia del principio democrático, exigen que esas decisiones estén precedidas del debate propio de las normas legales.”</w:t>
      </w:r>
    </w:p>
    <w:p w14:paraId="6692EFBD"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2E042185"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Finalmente, la Corte determina los criterios que se deben cumplir para poder realizar una corrida de toros, de conformidad con el Reglamento Nacional Taurino y declara la exequibilidad de la norma acusada bajo los criterios ya reseñados en la sentencia C-666 de 2010.</w:t>
      </w:r>
    </w:p>
    <w:p w14:paraId="6F86A875"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BF972BD"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Fallo 22592 de 2012</w:t>
      </w:r>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b/>
          <w:color w:val="000000"/>
          <w:sz w:val="22"/>
          <w:szCs w:val="22"/>
        </w:rPr>
        <w:t>Consejo de Estado</w:t>
      </w:r>
      <w:r w:rsidRPr="007D31A4">
        <w:rPr>
          <w:rFonts w:ascii="Bookman Old Style" w:eastAsia="Bookman Old Style" w:hAnsi="Bookman Old Style" w:cs="Bookman Old Style"/>
          <w:color w:val="000000"/>
          <w:sz w:val="22"/>
          <w:szCs w:val="22"/>
        </w:rPr>
        <w:t xml:space="preserve">. Sus implicaciones complementan el reconocimiento sobre la </w:t>
      </w:r>
      <w:proofErr w:type="spellStart"/>
      <w:r w:rsidRPr="007D31A4">
        <w:rPr>
          <w:rFonts w:ascii="Bookman Old Style" w:eastAsia="Bookman Old Style" w:hAnsi="Bookman Old Style" w:cs="Bookman Old Style"/>
          <w:color w:val="000000"/>
          <w:sz w:val="22"/>
          <w:szCs w:val="22"/>
        </w:rPr>
        <w:t>sintiencia</w:t>
      </w:r>
      <w:proofErr w:type="spellEnd"/>
      <w:r w:rsidRPr="007D31A4">
        <w:rPr>
          <w:rFonts w:ascii="Bookman Old Style" w:eastAsia="Bookman Old Style" w:hAnsi="Bookman Old Style" w:cs="Bookman Old Style"/>
          <w:color w:val="000000"/>
          <w:sz w:val="22"/>
          <w:szCs w:val="22"/>
        </w:rPr>
        <w:t xml:space="preserve"> (Capacidad de sentir placer y dolor) de los animales que hizo la Corte Constitucional en la Sentencia 666 de 2010. Es armónico con la Sentencia 666 de 2010, que limitó de manera considerable el ejercicio de la tauromaquia en Colombia, reconociéndola como un acto cruel que debe ir desapareciendo con el tiempo, a la par que resalta una serie de medidas que llevan a proteger a los animales partícipes. Lo anterior, va en dirección del espíritu consagrado en los anales de la Ley 84 de 1989 – Estatuto Nacional de Protección a los Animales, que a pesar de sus expresas y controversiales excepciones, donde se incluye la tauromaquia, sí pone de manifiesto la necesidad de una mayor evolución moral, de modo que logre abarcar y no discrimine a ninguna especie animal.</w:t>
      </w:r>
    </w:p>
    <w:p w14:paraId="4BB3753B"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EA53798"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7D31A4">
        <w:rPr>
          <w:rFonts w:ascii="Bookman Old Style" w:eastAsia="Bookman Old Style" w:hAnsi="Bookman Old Style" w:cs="Bookman Old Style"/>
          <w:b/>
          <w:color w:val="000000"/>
          <w:sz w:val="22"/>
          <w:szCs w:val="22"/>
        </w:rPr>
        <w:t>Sentencia C-283 de 2014. Corte Constitucional.</w:t>
      </w:r>
      <w:r w:rsidRPr="007D31A4">
        <w:rPr>
          <w:rFonts w:ascii="Bookman Old Style" w:eastAsia="Bookman Old Style" w:hAnsi="Bookman Old Style" w:cs="Bookman Old Style"/>
          <w:color w:val="000000"/>
          <w:sz w:val="22"/>
          <w:szCs w:val="22"/>
        </w:rPr>
        <w:t xml:space="preserve"> Demanda de inconstitucionalidad contra la Ley 1638 de 2013 que prohibió el uso de animales silvestres, nativos o exóticos, en espectáculos de circos fijos e itinerantes, en todo el territorio nacional. </w:t>
      </w:r>
    </w:p>
    <w:p w14:paraId="63528FEB" w14:textId="77777777" w:rsidR="00616F28" w:rsidRPr="007D31A4" w:rsidRDefault="00616F28" w:rsidP="00616F28">
      <w:pPr>
        <w:pStyle w:val="Prrafodelista"/>
        <w:rPr>
          <w:rFonts w:ascii="Bookman Old Style" w:eastAsia="Bookman Old Style" w:hAnsi="Bookman Old Style" w:cs="Bookman Old Style"/>
          <w:color w:val="000000"/>
          <w:sz w:val="22"/>
          <w:szCs w:val="22"/>
        </w:rPr>
      </w:pPr>
    </w:p>
    <w:p w14:paraId="71681212"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La Corte declaró la exequibilidad de las normas demandadas, resaltando que fueron proferidos en cumplimiento del mandato constitucional de protección al ambiente y a los animales.</w:t>
      </w:r>
    </w:p>
    <w:p w14:paraId="408A255D"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EC83F20"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Sobre este asunto y después de realizar un recuento sobre las normas constitucionales que tratan sobre estos asuntos, los instrumentos internacionales que se han ocupado sobre la materia y las razones para prohibir el uso de animales en este tipo de espectáculos, el Alto Tribunal resaltó:</w:t>
      </w:r>
    </w:p>
    <w:p w14:paraId="332A560A"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A3385EF"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“Tales preceptos constitucionales muestran la relevancia del interés superior del medio ambiente -Carta ecológica- como bien a proteger por sí mismo, además de la relación estrecha con los seres de la tierra. Una mayor consciencia, efectividad y drasticidad en la </w:t>
      </w:r>
      <w:r w:rsidRPr="007D31A4">
        <w:rPr>
          <w:rFonts w:ascii="Bookman Old Style" w:eastAsia="Bookman Old Style" w:hAnsi="Bookman Old Style" w:cs="Bookman Old Style"/>
          <w:i/>
          <w:color w:val="000000"/>
          <w:sz w:val="22"/>
          <w:szCs w:val="22"/>
        </w:rPr>
        <w:lastRenderedPageBreak/>
        <w:t>política defensora de la fauna silvestre se constituye en un imperativo. Los peligros y daños ambientales (maltrato animal-progresiva desaparición de la fauna) plantean la necesidad de normar los procesos bajo la neutralización del daño ambiental y la adopción de medidas oportunas eficaces aunque no exista certeza del daño.</w:t>
      </w:r>
      <w:bookmarkStart w:id="3" w:name="_ftnref242"/>
      <w:r w:rsidRPr="007D31A4">
        <w:rPr>
          <w:rFonts w:ascii="Bookman Old Style" w:eastAsia="Bookman Old Style" w:hAnsi="Bookman Old Style" w:cs="Bookman Old Style"/>
          <w:i/>
          <w:color w:val="000000"/>
          <w:sz w:val="22"/>
          <w:szCs w:val="22"/>
        </w:rPr>
        <w:fldChar w:fldCharType="begin"/>
      </w:r>
      <w:r w:rsidRPr="007D31A4">
        <w:rPr>
          <w:rFonts w:ascii="Bookman Old Style" w:eastAsia="Bookman Old Style" w:hAnsi="Bookman Old Style" w:cs="Bookman Old Style"/>
          <w:i/>
          <w:color w:val="000000"/>
          <w:sz w:val="22"/>
          <w:szCs w:val="22"/>
        </w:rPr>
        <w:instrText xml:space="preserve"> HYPERLINK "https://www.corteconstitucional.gov.co/relatoria/2014/C-283-14.htm" \l "_ftn242" \o "" </w:instrText>
      </w:r>
      <w:r w:rsidRPr="007D31A4">
        <w:rPr>
          <w:rFonts w:ascii="Bookman Old Style" w:eastAsia="Bookman Old Style" w:hAnsi="Bookman Old Style" w:cs="Bookman Old Style"/>
          <w:i/>
          <w:color w:val="000000"/>
          <w:sz w:val="22"/>
          <w:szCs w:val="22"/>
        </w:rPr>
        <w:fldChar w:fldCharType="separate"/>
      </w:r>
      <w:r w:rsidRPr="007D31A4">
        <w:rPr>
          <w:rFonts w:ascii="Bookman Old Style" w:eastAsia="Bookman Old Style" w:hAnsi="Bookman Old Style" w:cs="Bookman Old Style"/>
          <w:i/>
          <w:color w:val="000000"/>
          <w:sz w:val="22"/>
          <w:szCs w:val="22"/>
        </w:rPr>
        <w:t>[242]</w:t>
      </w:r>
      <w:r w:rsidRPr="007D31A4">
        <w:rPr>
          <w:rFonts w:ascii="Bookman Old Style" w:eastAsia="Bookman Old Style" w:hAnsi="Bookman Old Style" w:cs="Bookman Old Style"/>
          <w:i/>
          <w:color w:val="000000"/>
          <w:sz w:val="22"/>
          <w:szCs w:val="22"/>
        </w:rPr>
        <w:fldChar w:fldCharType="end"/>
      </w:r>
      <w:bookmarkEnd w:id="3"/>
      <w:r w:rsidRPr="007D31A4">
        <w:rPr>
          <w:rFonts w:ascii="Bookman Old Style" w:eastAsia="Bookman Old Style" w:hAnsi="Bookman Old Style" w:cs="Bookman Old Style"/>
          <w:i/>
          <w:color w:val="000000"/>
          <w:sz w:val="22"/>
          <w:szCs w:val="22"/>
        </w:rPr>
        <w:t> La interconexión con las demás formas de vida, el acceso apropiado a los recursos biológicos y genéticos, el respeto por el conocimiento tradicional y la protección de la biósfera y biodiversidad, habrán de atenderse por la humanidad</w:t>
      </w:r>
      <w:r w:rsidRPr="007D31A4">
        <w:rPr>
          <w:rStyle w:val="Refdenotaalpie"/>
          <w:rFonts w:ascii="Bookman Old Style" w:eastAsia="Bookman Old Style" w:hAnsi="Bookman Old Style" w:cs="Bookman Old Style"/>
          <w:i/>
          <w:color w:val="000000"/>
          <w:sz w:val="22"/>
          <w:szCs w:val="22"/>
        </w:rPr>
        <w:footnoteReference w:id="6"/>
      </w:r>
      <w:r w:rsidRPr="007D31A4">
        <w:rPr>
          <w:rFonts w:ascii="Bookman Old Style" w:eastAsia="Bookman Old Style" w:hAnsi="Bookman Old Style" w:cs="Bookman Old Style"/>
          <w:i/>
          <w:color w:val="000000"/>
          <w:sz w:val="22"/>
          <w:szCs w:val="22"/>
        </w:rPr>
        <w:t xml:space="preserve">”. </w:t>
      </w:r>
    </w:p>
    <w:p w14:paraId="25A62CE5"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3150576"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7D31A4">
        <w:rPr>
          <w:rFonts w:ascii="Bookman Old Style" w:eastAsia="Bookman Old Style" w:hAnsi="Bookman Old Style" w:cs="Bookman Old Style"/>
          <w:color w:val="000000"/>
          <w:sz w:val="22"/>
          <w:szCs w:val="22"/>
        </w:rPr>
        <w:t xml:space="preserve">En suma, la Corte determinó la existencia de un fin constitucionalmente válido en la ley demandada, al propender por la preservación del medio ambiente a través de la protección de los animales silvestres. </w:t>
      </w:r>
    </w:p>
    <w:p w14:paraId="087F6985"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AFFCB4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Sentencia C-467 de 2016.</w:t>
      </w:r>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b/>
          <w:color w:val="000000"/>
          <w:sz w:val="22"/>
          <w:szCs w:val="22"/>
        </w:rPr>
        <w:t>Corte Constitucional.</w:t>
      </w:r>
      <w:r w:rsidRPr="007D31A4">
        <w:rPr>
          <w:rFonts w:ascii="Bookman Old Style" w:eastAsia="Bookman Old Style" w:hAnsi="Bookman Old Style" w:cs="Bookman Old Style"/>
          <w:color w:val="000000"/>
          <w:sz w:val="22"/>
          <w:szCs w:val="22"/>
        </w:rPr>
        <w:t xml:space="preserve"> Demanda de inconstitucionalidad presentada contra los artículos 656 y 658 del Código Civil que otorgaban a los animales la calidad de bienes muebles semovientes e inmuebles por destinación. La demanda tuvo como fundamento el reconocimiento de seres sintientes realizado por el legislador a través de la Ley 1774 de 2016.</w:t>
      </w:r>
      <w:r w:rsidRPr="007D31A4">
        <w:rPr>
          <w:rFonts w:ascii="Arial" w:eastAsia="Arial" w:hAnsi="Arial" w:cs="Arial"/>
          <w:color w:val="000000"/>
          <w:sz w:val="22"/>
          <w:szCs w:val="22"/>
        </w:rPr>
        <w:t xml:space="preserve"> </w:t>
      </w:r>
    </w:p>
    <w:p w14:paraId="6226A3A8"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7F6152B2" w14:textId="77777777" w:rsidR="00616F28" w:rsidRPr="007D31A4" w:rsidRDefault="00616F28" w:rsidP="00616F28">
      <w:pPr>
        <w:pBdr>
          <w:top w:val="nil"/>
          <w:left w:val="nil"/>
          <w:bottom w:val="nil"/>
          <w:right w:val="nil"/>
          <w:between w:val="nil"/>
        </w:pBdr>
        <w:jc w:val="both"/>
        <w:rPr>
          <w:rFonts w:ascii="Bookman Old Style" w:hAnsi="Bookman Old Style"/>
          <w:color w:val="000000" w:themeColor="text1"/>
          <w:sz w:val="22"/>
          <w:szCs w:val="22"/>
        </w:rPr>
      </w:pPr>
      <w:r w:rsidRPr="007D31A4">
        <w:rPr>
          <w:rFonts w:ascii="Bookman Old Style" w:eastAsia="Bookman Old Style" w:hAnsi="Bookman Old Style" w:cs="Bookman Old Style"/>
          <w:color w:val="000000"/>
          <w:sz w:val="22"/>
          <w:szCs w:val="22"/>
        </w:rPr>
        <w:t xml:space="preserve">En esta oportunidad la Corte estudió las implicaciones de que los animales tuviesen doble connotación, a saber la de bienes y la de seres sintientes, concluyendo que </w:t>
      </w:r>
      <w:r w:rsidRPr="007D31A4">
        <w:rPr>
          <w:rFonts w:ascii="Bookman Old Style" w:eastAsia="Bookman Old Style" w:hAnsi="Bookman Old Style" w:cs="Bookman Old Style"/>
          <w:i/>
          <w:color w:val="000000"/>
          <w:sz w:val="22"/>
          <w:szCs w:val="22"/>
        </w:rPr>
        <w:t>“la definición legal que se cuestiona se proyecta exclusivamente en el escenario civil, escenario que, por su propia naturaleza, escapa a la definición del trato que deben recibir los animales como seres sintientes</w:t>
      </w:r>
      <w:r w:rsidRPr="007D31A4">
        <w:rPr>
          <w:rStyle w:val="Refdenotaalpie"/>
          <w:rFonts w:ascii="Bookman Old Style" w:eastAsia="Bookman Old Style" w:hAnsi="Bookman Old Style" w:cs="Bookman Old Style"/>
          <w:i/>
          <w:color w:val="000000"/>
          <w:sz w:val="22"/>
          <w:szCs w:val="22"/>
        </w:rPr>
        <w:footnoteReference w:id="7"/>
      </w:r>
      <w:r w:rsidRPr="007D31A4">
        <w:rPr>
          <w:rFonts w:ascii="Bookman Old Style" w:eastAsia="Bookman Old Style" w:hAnsi="Bookman Old Style" w:cs="Bookman Old Style"/>
          <w:i/>
          <w:color w:val="000000"/>
          <w:sz w:val="22"/>
          <w:szCs w:val="22"/>
        </w:rPr>
        <w:t>”.</w:t>
      </w:r>
      <w:r w:rsidRPr="007D31A4">
        <w:rPr>
          <w:rFonts w:ascii="Bookman Old Style" w:hAnsi="Bookman Old Style"/>
          <w:color w:val="000000" w:themeColor="text1"/>
          <w:sz w:val="22"/>
          <w:szCs w:val="22"/>
        </w:rPr>
        <w:t xml:space="preserve"> </w:t>
      </w:r>
    </w:p>
    <w:p w14:paraId="53AE81BB"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68B3C191"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Para llegar a esta conclusión el Alto Tribunal determinó que la protección de los animales </w:t>
      </w:r>
      <w:r w:rsidRPr="007D31A4">
        <w:rPr>
          <w:rFonts w:ascii="Bookman Old Style" w:eastAsia="Bookman Old Style" w:hAnsi="Bookman Old Style" w:cs="Bookman Old Style"/>
          <w:i/>
          <w:color w:val="000000"/>
          <w:sz w:val="22"/>
          <w:szCs w:val="22"/>
        </w:rPr>
        <w:t>“se produce, no por vía de su calificación abstracta como seres sintientes ni como sujetos de derechos, sino con la identificación de las modalidades y de los escenarios en los que se infringe sufrimiento a los animales individualmente considerados, y con la adopción de medidas idóneas y eficaces para la erradicación de estas modalidades y escenarios en los que se produce el sufrimiento animal</w:t>
      </w:r>
      <w:r w:rsidRPr="007D31A4">
        <w:rPr>
          <w:rStyle w:val="Refdenotaalpie"/>
          <w:rFonts w:ascii="Bookman Old Style" w:eastAsia="Bookman Old Style" w:hAnsi="Bookman Old Style" w:cs="Bookman Old Style"/>
          <w:i/>
          <w:color w:val="000000"/>
          <w:sz w:val="22"/>
          <w:szCs w:val="22"/>
        </w:rPr>
        <w:footnoteReference w:id="8"/>
      </w:r>
      <w:r w:rsidRPr="007D31A4">
        <w:rPr>
          <w:rFonts w:ascii="Bookman Old Style" w:eastAsia="Bookman Old Style" w:hAnsi="Bookman Old Style" w:cs="Bookman Old Style"/>
          <w:i/>
          <w:color w:val="000000"/>
          <w:sz w:val="22"/>
          <w:szCs w:val="22"/>
        </w:rPr>
        <w:t>.”</w:t>
      </w:r>
      <w:r w:rsidRPr="007D31A4">
        <w:rPr>
          <w:rFonts w:ascii="Bookman Old Style" w:eastAsia="Bookman Old Style" w:hAnsi="Bookman Old Style" w:cs="Bookman Old Style"/>
          <w:color w:val="000000"/>
          <w:sz w:val="22"/>
          <w:szCs w:val="22"/>
        </w:rPr>
        <w:t xml:space="preserve"> En ese sentido, y en lo que corresponde a la función del legislador, la Corte resaltó que:</w:t>
      </w:r>
    </w:p>
    <w:p w14:paraId="5315C153"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4A66B57"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i/>
          <w:color w:val="000000"/>
          <w:sz w:val="22"/>
          <w:szCs w:val="22"/>
        </w:rPr>
        <w:t xml:space="preserve">la intervención legislativa en estos escenarios a la luz de los estándares de bienestar animal reviste un alto nivel de complejidad, porque implica mucho más que una recalificación legal abstracta, y exige intervenir variables de orden cultural, patrones alimentarios de vieja data, y reconfigurar modelos de producción no susceptibles de ser alterados unilateral y automáticamente. Es decir, la intervención legislativa en los ámbitos en los que se produce el </w:t>
      </w:r>
      <w:r w:rsidRPr="007D31A4">
        <w:rPr>
          <w:rFonts w:ascii="Bookman Old Style" w:eastAsia="Bookman Old Style" w:hAnsi="Bookman Old Style" w:cs="Bookman Old Style"/>
          <w:i/>
          <w:color w:val="000000"/>
          <w:sz w:val="22"/>
          <w:szCs w:val="22"/>
        </w:rPr>
        <w:lastRenderedPageBreak/>
        <w:t>maltrato animal, como la producción de materias primas (carne, lácteos y pieles), la investigación y experimentación con fines científicos e industriales, la utilización de animales como fuerza de trabajo o espectáculos públicos, y la tenencia de animales domésticos y salvajes, requiere de instrumentos y herramientas altamente sofisticadas, que rebasan por mucho la sola recalificación legal de los animales.</w:t>
      </w:r>
    </w:p>
    <w:p w14:paraId="7F70A871" w14:textId="77777777" w:rsidR="00616F28" w:rsidRPr="007D31A4" w:rsidRDefault="00616F28" w:rsidP="00616F28">
      <w:pPr>
        <w:ind w:left="851" w:right="900"/>
        <w:jc w:val="both"/>
        <w:rPr>
          <w:rFonts w:ascii="Bookman Old Style" w:hAnsi="Bookman Old Style"/>
          <w:b/>
          <w:color w:val="000000" w:themeColor="text1"/>
          <w:sz w:val="22"/>
          <w:szCs w:val="22"/>
        </w:rPr>
      </w:pPr>
    </w:p>
    <w:p w14:paraId="1FFAEDF7"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De hecho, en aquellos casos en los que este tribunal se ha pronunciado sobre la prohibición de maltrato animal, ha concluido que la materialización de este principio no se obtiene por vía de la variación de su status legal, considerado en abstracto, sino por vía de la adopción de medidas concretas y específicas que regularicen la actividad humana en su interacción con los animales, como la adopción de protocolos para el ejercicio de actividades que provocan sufrimiento animal, o su prohibición inmediata o progresiva</w:t>
      </w:r>
      <w:r w:rsidRPr="007D31A4">
        <w:rPr>
          <w:rStyle w:val="Refdenotaalpie"/>
          <w:rFonts w:ascii="Bookman Old Style" w:eastAsia="Bookman Old Style" w:hAnsi="Bookman Old Style" w:cs="Bookman Old Style"/>
          <w:i/>
          <w:color w:val="000000"/>
          <w:sz w:val="22"/>
          <w:szCs w:val="22"/>
        </w:rPr>
        <w:footnoteReference w:id="9"/>
      </w:r>
      <w:r w:rsidRPr="007D31A4">
        <w:rPr>
          <w:rFonts w:ascii="Bookman Old Style" w:eastAsia="Bookman Old Style" w:hAnsi="Bookman Old Style" w:cs="Bookman Old Style"/>
          <w:i/>
          <w:color w:val="000000"/>
          <w:sz w:val="22"/>
          <w:szCs w:val="22"/>
        </w:rPr>
        <w:t>.”</w:t>
      </w:r>
    </w:p>
    <w:p w14:paraId="7887DA65"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0ED24157"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Estos comentarios nuevamente, ratifican que es el Legislador el llamado a armonizar las normas actuales con los principios constitucionales de protección a los animales y que, solo el Congreso puede proceder a erradicar aquellas prácticas que constituyan maltrato animal, incluso cuando estén cobijadas por una connotación cultural. </w:t>
      </w:r>
    </w:p>
    <w:p w14:paraId="332168C5"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3BD0FF4"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7D31A4">
        <w:rPr>
          <w:rFonts w:ascii="Bookman Old Style" w:eastAsia="Bookman Old Style" w:hAnsi="Bookman Old Style" w:cs="Bookman Old Style"/>
          <w:b/>
          <w:color w:val="000000"/>
          <w:sz w:val="22"/>
          <w:szCs w:val="22"/>
        </w:rPr>
        <w:t xml:space="preserve">Sentencia C-041 de 2017. Corte Constitucional. </w:t>
      </w:r>
      <w:r w:rsidRPr="007D31A4">
        <w:rPr>
          <w:rFonts w:ascii="Bookman Old Style" w:eastAsia="Bookman Old Style" w:hAnsi="Bookman Old Style" w:cs="Bookman Old Style"/>
          <w:color w:val="000000"/>
          <w:sz w:val="22"/>
          <w:szCs w:val="22"/>
        </w:rPr>
        <w:t>En esta oportunidad se demanda la expresión “menoscaben gravemente” prevista en el artículo 5º de la Ley 1774 de 2016, que adicionó el artículo 339A al Código Penal, por considerar que es ambigua. La Corte, amparada en el concepto de “tipo penal en blanco” declara exequible la norma, pero profundiza en el deber de protección de los animales, reconociendo incluso la posibilidad de que les sean predicables algunos derechos que, evidentemente, no podrán ser equiparables a los de los seres humanos.</w:t>
      </w:r>
    </w:p>
    <w:p w14:paraId="2719DAEF"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b/>
          <w:color w:val="000000"/>
          <w:sz w:val="22"/>
          <w:szCs w:val="22"/>
        </w:rPr>
      </w:pPr>
    </w:p>
    <w:p w14:paraId="25F0CDC1"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Al respecto, refiere el Alto Tribunal lo siguiente:</w:t>
      </w:r>
    </w:p>
    <w:p w14:paraId="2212312B"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EF5001C"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Aunque la Constitución no reconozca explícitamente a los animales como titulares de derechos, ello no debe entenderse como su negación, ni menos como una prohibición para su reconocimiento -innominados-. Su exigencia atiende a factores como la evolución de la humanidad y los cambios que presente una sociedad, lo cual puede llevar a la Corte a hacer visible lo que a primera vista no se avizora en la Constitución. Además, con independencia de la clasificación de los derechos en el tiempo (generacionales), forman una unidad por cuanto son interdependientes, integrales y universales.</w:t>
      </w:r>
    </w:p>
    <w:p w14:paraId="08120293"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5F9710F"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lastRenderedPageBreak/>
        <w:t>Siendo este Tribunal el intérprete autorizado de la Carta Política (art. 241), tiene una función encomiable de hacer cierta para la realidad del Derecho la inclusión de los animales como titulares de ciertos derechos, en la obtención de los fines esenciales y sociales del Estado constitucional (preámbulo, arts. 1o y 2o superiores). Un derecho jurídicamente establecido y definido tiene en cuenta el sistema de evidencias, representaciones colectivas y creencias de la comunidad, por lo que el criterio de la consagración expresa de un derecho resulta insuficiente para cuestionar la posición aquí adoptada. Más aún cuando se endilga un déficit de protección o circunstancias de indefensión.</w:t>
      </w:r>
    </w:p>
    <w:p w14:paraId="3D731402"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2D3561D"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La cultura se transforma y revalúa constantemente en el marco de las mentalidades y de los imaginarios de una civilización, para adecuarse a la evolución de la humanidad, la realización de los derechos y el cumplimiento de los deberes, más cuando se busca desterrar rastros de una sociedad violenta que ha impuesto categorías de marginalización y dominación de determinados individuos o colectivos. Erradicar la </w:t>
      </w:r>
      <w:proofErr w:type="spellStart"/>
      <w:r w:rsidRPr="007D31A4">
        <w:rPr>
          <w:rFonts w:ascii="Bookman Old Style" w:eastAsia="Bookman Old Style" w:hAnsi="Bookman Old Style" w:cs="Bookman Old Style"/>
          <w:i/>
          <w:color w:val="000000"/>
          <w:sz w:val="22"/>
          <w:szCs w:val="22"/>
        </w:rPr>
        <w:t>subalternidad</w:t>
      </w:r>
      <w:proofErr w:type="spellEnd"/>
      <w:r w:rsidRPr="007D31A4">
        <w:rPr>
          <w:rFonts w:ascii="Bookman Old Style" w:eastAsia="Bookman Old Style" w:hAnsi="Bookman Old Style" w:cs="Bookman Old Style"/>
          <w:i/>
          <w:color w:val="000000"/>
          <w:sz w:val="22"/>
          <w:szCs w:val="22"/>
        </w:rPr>
        <w:t xml:space="preserve"> hacia los animales se constituye en un claro y preciso derrotero de la sociedad actual</w:t>
      </w:r>
      <w:r w:rsidRPr="007D31A4">
        <w:rPr>
          <w:rStyle w:val="Refdenotaalpie"/>
          <w:rFonts w:ascii="Bookman Old Style" w:eastAsia="Bookman Old Style" w:hAnsi="Bookman Old Style" w:cs="Bookman Old Style"/>
          <w:i/>
          <w:color w:val="000000"/>
          <w:sz w:val="22"/>
          <w:szCs w:val="22"/>
        </w:rPr>
        <w:footnoteReference w:id="10"/>
      </w:r>
      <w:r w:rsidRPr="007D31A4">
        <w:rPr>
          <w:rFonts w:ascii="Bookman Old Style" w:eastAsia="Bookman Old Style" w:hAnsi="Bookman Old Style" w:cs="Bookman Old Style"/>
          <w:i/>
          <w:color w:val="000000"/>
          <w:sz w:val="22"/>
          <w:szCs w:val="22"/>
        </w:rPr>
        <w:t>.”</w:t>
      </w:r>
    </w:p>
    <w:p w14:paraId="009B51A8"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61985992"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Siguiendo esta línea y, frente al argumento en virtud del cual no es posible reconocerle derechos a los animales en tanto no pueden reclamarlos por sí mismo, la Corte manifiesta que:</w:t>
      </w:r>
    </w:p>
    <w:p w14:paraId="2CB12813"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235B392C"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Una lógica de lo razonable permite comprender que el hecho de que los animales no puedan reclamar directamente un buen trato o el respeto por sus derechos, no significa que deba prescindirse de su garantía. Su condición de indefensión haría forzosa la figura de la representación o agencia humana, pudiendo ser un instrumento efectivo las acciones populares o incluso la acción de tutela, mientras se establece la regulación.</w:t>
      </w:r>
    </w:p>
    <w:p w14:paraId="7DACFF68"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w:t>
      </w:r>
    </w:p>
    <w:p w14:paraId="70CF4259"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Los animales no son individuos idénticos a los humanos y no tienen por qué serlo. La Constitución preserva las especies -humanas y no humanas- como parte del entorno ecológico, pero también es posible extraer su protección como individuos al disponer de variadas y similares capacidades y niveles de raciocinio. De las interacciones que los humanos tienen con los demás seres vivos es claro que hacemos parte del mismo ecosistema compartiendo análogas y diferentes necesidades básicas, que no se reducen a la condición de seres vivos y sintientes.</w:t>
      </w:r>
    </w:p>
    <w:p w14:paraId="5A313D0D"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2E000B24"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lastRenderedPageBreak/>
        <w:t>Desterrar toda concepción de vida mecánica y sin racionalidad respecto de los animales permite encausarlos dentro del sentido amplio de persona. </w:t>
      </w:r>
      <w:proofErr w:type="spellStart"/>
      <w:r w:rsidRPr="007D31A4">
        <w:rPr>
          <w:rFonts w:ascii="Bookman Old Style" w:eastAsia="Bookman Old Style" w:hAnsi="Bookman Old Style" w:cs="Bookman Old Style"/>
          <w:i/>
          <w:color w:val="000000"/>
          <w:sz w:val="22"/>
          <w:szCs w:val="22"/>
        </w:rPr>
        <w:t>Susan</w:t>
      </w:r>
      <w:proofErr w:type="spellEnd"/>
      <w:r w:rsidRPr="007D31A4">
        <w:rPr>
          <w:rFonts w:ascii="Bookman Old Style" w:eastAsia="Bookman Old Style" w:hAnsi="Bookman Old Style" w:cs="Bookman Old Style"/>
          <w:i/>
          <w:color w:val="000000"/>
          <w:sz w:val="22"/>
          <w:szCs w:val="22"/>
        </w:rPr>
        <w:t xml:space="preserve"> </w:t>
      </w:r>
      <w:proofErr w:type="spellStart"/>
      <w:r w:rsidRPr="007D31A4">
        <w:rPr>
          <w:rFonts w:ascii="Bookman Old Style" w:eastAsia="Bookman Old Style" w:hAnsi="Bookman Old Style" w:cs="Bookman Old Style"/>
          <w:i/>
          <w:color w:val="000000"/>
          <w:sz w:val="22"/>
          <w:szCs w:val="22"/>
        </w:rPr>
        <w:t>Hurley</w:t>
      </w:r>
      <w:bookmarkStart w:id="4" w:name="_ftnref142"/>
      <w:proofErr w:type="spellEnd"/>
      <w:r w:rsidRPr="007D31A4">
        <w:rPr>
          <w:rFonts w:ascii="Bookman Old Style" w:eastAsia="Bookman Old Style" w:hAnsi="Bookman Old Style" w:cs="Bookman Old Style"/>
          <w:i/>
          <w:color w:val="000000"/>
          <w:sz w:val="22"/>
          <w:szCs w:val="22"/>
        </w:rPr>
        <w:fldChar w:fldCharType="begin"/>
      </w:r>
      <w:r w:rsidRPr="007D31A4">
        <w:rPr>
          <w:rFonts w:ascii="Bookman Old Style" w:eastAsia="Bookman Old Style" w:hAnsi="Bookman Old Style" w:cs="Bookman Old Style"/>
          <w:i/>
          <w:color w:val="000000"/>
          <w:sz w:val="22"/>
          <w:szCs w:val="22"/>
        </w:rPr>
        <w:instrText xml:space="preserve"> HYPERLINK "https://www.corteconstitucional.gov.co/relatoria/2017/C-041-17.htm" \l "_ftn142" \o "" </w:instrText>
      </w:r>
      <w:r w:rsidRPr="007D31A4">
        <w:rPr>
          <w:rFonts w:ascii="Bookman Old Style" w:eastAsia="Bookman Old Style" w:hAnsi="Bookman Old Style" w:cs="Bookman Old Style"/>
          <w:i/>
          <w:color w:val="000000"/>
          <w:sz w:val="22"/>
          <w:szCs w:val="22"/>
        </w:rPr>
        <w:fldChar w:fldCharType="separate"/>
      </w:r>
      <w:r w:rsidRPr="007D31A4">
        <w:rPr>
          <w:rFonts w:ascii="Bookman Old Style" w:eastAsia="Bookman Old Style" w:hAnsi="Bookman Old Style" w:cs="Bookman Old Style"/>
          <w:i/>
          <w:color w:val="000000"/>
          <w:sz w:val="22"/>
          <w:szCs w:val="22"/>
        </w:rPr>
        <w:t>[142]</w:t>
      </w:r>
      <w:r w:rsidRPr="007D31A4">
        <w:rPr>
          <w:rFonts w:ascii="Bookman Old Style" w:eastAsia="Bookman Old Style" w:hAnsi="Bookman Old Style" w:cs="Bookman Old Style"/>
          <w:i/>
          <w:color w:val="000000"/>
          <w:sz w:val="22"/>
          <w:szCs w:val="22"/>
        </w:rPr>
        <w:fldChar w:fldCharType="end"/>
      </w:r>
      <w:bookmarkEnd w:id="4"/>
      <w:r w:rsidRPr="007D31A4">
        <w:rPr>
          <w:rFonts w:ascii="Bookman Old Style" w:eastAsia="Bookman Old Style" w:hAnsi="Bookman Old Style" w:cs="Bookman Old Style"/>
          <w:i/>
          <w:color w:val="000000"/>
          <w:sz w:val="22"/>
          <w:szCs w:val="22"/>
        </w:rPr>
        <w:t> recoge la idea que este Tribunal busca transmitir en esta decisión: "El interés en si los animales son agentes racionales no requiere que la racionalidad tenga una unidad profunda o que todos sus aspectos puedan ser comparados en un solo espectro; es un interés en varias maneras específicas en que las capacidades de los animales pueden ser continuas así como discontinuas con las nuestras”.</w:t>
      </w:r>
    </w:p>
    <w:p w14:paraId="52B841BD"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w:t>
      </w:r>
    </w:p>
    <w:p w14:paraId="01BECB74" w14:textId="77777777" w:rsidR="00616F28" w:rsidRPr="007D31A4" w:rsidRDefault="00616F28" w:rsidP="00616F28">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En conclusión, la dogmática dinámica y evolutiva impone avanzar con mecanismos más decisivos para la efectividad de los intereses de los animales, al disponer hoy de nuevos estudios científicos y mayores saberes. Es un imperativo repensar posibles horizontes y transformar las sedimentadas tradiciones cuando socavan intereses vitales y primarios de toda sociedad democrática y constitucional.</w:t>
      </w:r>
    </w:p>
    <w:p w14:paraId="0F8FC1D0"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i/>
          <w:color w:val="000000"/>
          <w:sz w:val="22"/>
          <w:szCs w:val="22"/>
        </w:rPr>
      </w:pPr>
    </w:p>
    <w:p w14:paraId="190B0389"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b/>
          <w:color w:val="000000"/>
          <w:sz w:val="22"/>
          <w:szCs w:val="22"/>
        </w:rPr>
      </w:pPr>
      <w:r w:rsidRPr="007D31A4">
        <w:rPr>
          <w:rFonts w:ascii="Bookman Old Style" w:eastAsia="Bookman Old Style" w:hAnsi="Bookman Old Style" w:cs="Bookman Old Style"/>
          <w:color w:val="000000"/>
          <w:sz w:val="22"/>
          <w:szCs w:val="22"/>
        </w:rPr>
        <w:t xml:space="preserve">Esta es tal vez la decisión más relevante en cuanto a la protección de los animales pues va más allá del reconocimiento legal y jurisprudencial de su calidad de seres sintientes, para reconocer la posibilidad de que sean declarados verdaderos sujetos de derechos, con unos límites que permitan distinguirlos de aquellos reconocidos a los seres humanos.  </w:t>
      </w:r>
    </w:p>
    <w:p w14:paraId="56936760"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FF1A816"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Del anterior recuento jurisprudencial, es dable afirmar hoy que existen un conjunto de criterios claros con relación a la protección animal, que deben ser tenidos en cuenta por el legislador, así: </w:t>
      </w:r>
    </w:p>
    <w:p w14:paraId="24CA4882"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7F4C6815" w14:textId="77777777" w:rsidR="00616F28" w:rsidRPr="007D31A4" w:rsidRDefault="00616F28" w:rsidP="00616F28">
      <w:pPr>
        <w:numPr>
          <w:ilvl w:val="0"/>
          <w:numId w:val="4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Existe un deber constitucional y moral de evitar sufrimiento a los animales, motivo por el cual, en diversos momentos, el Legislador ha establecido sanciones a aquellas personas que causen daños físicos a los “animales no humanos”. </w:t>
      </w:r>
    </w:p>
    <w:p w14:paraId="3141EB0F"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48E37AFC" w14:textId="77777777" w:rsidR="00616F28" w:rsidRPr="007D31A4" w:rsidRDefault="00616F28" w:rsidP="00616F28">
      <w:pPr>
        <w:numPr>
          <w:ilvl w:val="0"/>
          <w:numId w:val="4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La regla general del comportamiento humano frente a la naturaleza (incluida la fauna y la flora), es el de cuidado y protección. En esa medida, la Ley no puede contener conductas que representen actos de crueldad para con los animales.</w:t>
      </w:r>
    </w:p>
    <w:p w14:paraId="59F1FBE6" w14:textId="77777777" w:rsidR="00616F28" w:rsidRPr="007D31A4" w:rsidRDefault="00616F28" w:rsidP="00616F28">
      <w:pPr>
        <w:pBdr>
          <w:top w:val="nil"/>
          <w:left w:val="nil"/>
          <w:bottom w:val="nil"/>
          <w:right w:val="nil"/>
          <w:between w:val="nil"/>
        </w:pBdr>
        <w:ind w:left="720"/>
        <w:jc w:val="both"/>
        <w:rPr>
          <w:rFonts w:ascii="Bookman Old Style" w:eastAsia="Bookman Old Style" w:hAnsi="Bookman Old Style" w:cs="Bookman Old Style"/>
          <w:color w:val="000000"/>
          <w:sz w:val="22"/>
          <w:szCs w:val="22"/>
        </w:rPr>
      </w:pPr>
    </w:p>
    <w:p w14:paraId="3359850A" w14:textId="77777777" w:rsidR="00616F28" w:rsidRPr="007D31A4" w:rsidRDefault="00616F28" w:rsidP="00616F28">
      <w:pPr>
        <w:numPr>
          <w:ilvl w:val="0"/>
          <w:numId w:val="4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De las disposiciones constitucionales surgen obligaciones que condicionan el comportamiento de los seres humanos y que conllevan al respeto de los animales, de forma que los operadores del derecho (ya sean legisladores, jueces o funcionarios de la administración) tienen la obligación de tener en cuenta, dentro de sus actuaciones, la dignidad de los animales no humanos en tanto seres sintientes.  </w:t>
      </w:r>
    </w:p>
    <w:p w14:paraId="0C51AC59" w14:textId="77777777" w:rsidR="00616F28" w:rsidRPr="007D31A4" w:rsidRDefault="00616F28" w:rsidP="00616F28">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344D9266" w14:textId="77777777" w:rsidR="00616F28" w:rsidRPr="007D31A4" w:rsidRDefault="00616F28" w:rsidP="00616F28">
      <w:pPr>
        <w:numPr>
          <w:ilvl w:val="0"/>
          <w:numId w:val="4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lastRenderedPageBreak/>
        <w:t xml:space="preserve">El Deber de protección refleja un contenido de moral política y conciencia de la responsabilidad que deben tener los seres humanos respecto de los </w:t>
      </w:r>
      <w:r w:rsidRPr="007D31A4">
        <w:rPr>
          <w:rFonts w:ascii="Bookman Old Style" w:eastAsia="Bookman Old Style" w:hAnsi="Bookman Old Style" w:cs="Bookman Old Style"/>
          <w:i/>
          <w:color w:val="000000"/>
          <w:sz w:val="22"/>
          <w:szCs w:val="22"/>
        </w:rPr>
        <w:t>otros</w:t>
      </w:r>
      <w:r w:rsidRPr="007D31A4">
        <w:rPr>
          <w:rFonts w:ascii="Bookman Old Style" w:eastAsia="Bookman Old Style" w:hAnsi="Bookman Old Style" w:cs="Bookman Old Style"/>
          <w:color w:val="000000"/>
          <w:sz w:val="22"/>
          <w:szCs w:val="22"/>
        </w:rPr>
        <w:t xml:space="preserve"> seres vivos y sintientes. </w:t>
      </w:r>
    </w:p>
    <w:p w14:paraId="1EF61226" w14:textId="77777777" w:rsidR="00616F28" w:rsidRPr="007D31A4" w:rsidRDefault="00616F28" w:rsidP="00616F28">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6122ED08" w14:textId="77777777" w:rsidR="00616F28" w:rsidRPr="007D31A4" w:rsidRDefault="00616F28" w:rsidP="00616F28">
      <w:pPr>
        <w:numPr>
          <w:ilvl w:val="0"/>
          <w:numId w:val="4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Ha de tomarse en cuenta la existencia de parámetros de obligatorio cumplimiento por el legislador, quien ya no tendrá plena libertad de opción respecto del tipo, alcance, amplitud o naturaleza de la protección que cree respecto de los animales, sino que, en cuanto poder constituido, se encuentra vinculado por el </w:t>
      </w:r>
      <w:r w:rsidRPr="007D31A4">
        <w:rPr>
          <w:rFonts w:ascii="Bookman Old Style" w:eastAsia="Bookman Old Style" w:hAnsi="Bookman Old Style" w:cs="Bookman Old Style"/>
          <w:i/>
          <w:color w:val="000000"/>
          <w:sz w:val="22"/>
          <w:szCs w:val="22"/>
        </w:rPr>
        <w:t>deber constitucional</w:t>
      </w:r>
      <w:r w:rsidRPr="007D31A4">
        <w:rPr>
          <w:rFonts w:ascii="Bookman Old Style" w:eastAsia="Bookman Old Style" w:hAnsi="Bookman Old Style" w:cs="Bookman Old Style"/>
          <w:color w:val="000000"/>
          <w:sz w:val="22"/>
          <w:szCs w:val="22"/>
        </w:rPr>
        <w:t xml:space="preserve"> previsto en los artículos 8º, 79 y 95.8, y el concepto de dignidad humana (fundamento de las relaciones que un ser sintiente –humano- tiene con otro ser sintiente –animal-). En esa medida, el Congreso está llamado a establecer un sistema jurídico de protección que garantice la integridad de los animales en cuanto seres sintientes, e incluso podría hablarse de un eventual reconocimiento de los animales como sujetos de derechos, que hacen parte del contexto natural en el que las personas desarrollan su vida.</w:t>
      </w:r>
    </w:p>
    <w:p w14:paraId="13EC32B6" w14:textId="77777777" w:rsidR="00616F28" w:rsidRPr="007D31A4" w:rsidRDefault="00616F28" w:rsidP="00616F28">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67622BAF" w14:textId="77777777" w:rsidR="00616F28" w:rsidRPr="007D31A4" w:rsidRDefault="00616F28" w:rsidP="00616F28">
      <w:pPr>
        <w:numPr>
          <w:ilvl w:val="0"/>
          <w:numId w:val="4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El tratamiento que las personas brindan a los animales se encuentra restringido y regido por el principio de </w:t>
      </w:r>
      <w:r w:rsidRPr="007D31A4">
        <w:rPr>
          <w:rFonts w:ascii="Bookman Old Style" w:eastAsia="Bookman Old Style" w:hAnsi="Bookman Old Style" w:cs="Bookman Old Style"/>
          <w:i/>
          <w:color w:val="000000"/>
          <w:sz w:val="22"/>
          <w:szCs w:val="22"/>
        </w:rPr>
        <w:t>bienestar animal</w:t>
      </w:r>
      <w:r w:rsidRPr="007D31A4">
        <w:rPr>
          <w:rFonts w:ascii="Bookman Old Style" w:eastAsia="Bookman Old Style" w:hAnsi="Bookman Old Style" w:cs="Bookman Old Style"/>
          <w:color w:val="000000"/>
          <w:sz w:val="22"/>
          <w:szCs w:val="22"/>
          <w:vertAlign w:val="superscript"/>
        </w:rPr>
        <w:footnoteReference w:id="11"/>
      </w:r>
      <w:r w:rsidRPr="007D31A4">
        <w:rPr>
          <w:rFonts w:ascii="Bookman Old Style" w:eastAsia="Bookman Old Style" w:hAnsi="Bookman Old Style" w:cs="Bookman Old Style"/>
          <w:color w:val="000000"/>
          <w:sz w:val="22"/>
          <w:szCs w:val="22"/>
        </w:rPr>
        <w:t xml:space="preserve">, el cual se sustenta en el concepto complejo y amplio de ambiente, que debe superar una visión utilitarista y antropocéntrica, para centrarse en una que comprenda no solo al ser humano como parte de un todo natural donde los animales también son fines en sí mismos con intereses propios e independientes del arbitrio humano. </w:t>
      </w:r>
    </w:p>
    <w:p w14:paraId="3C32C1ED" w14:textId="77777777" w:rsidR="00616F28" w:rsidRPr="007D31A4" w:rsidRDefault="00616F28" w:rsidP="00616F28">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246636A" w14:textId="77777777" w:rsidR="00616F28" w:rsidRPr="007D31A4" w:rsidRDefault="00616F28" w:rsidP="00616F28">
      <w:pPr>
        <w:numPr>
          <w:ilvl w:val="0"/>
          <w:numId w:val="4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El ejercicio de las diversas expresiones culturales debe estar en armonía con los otros valores, derechos y principios fundamentales que integran el sistema constitucional colombiano. </w:t>
      </w:r>
    </w:p>
    <w:p w14:paraId="61608377" w14:textId="77777777" w:rsidR="00616F28" w:rsidRPr="007D31A4" w:rsidRDefault="00616F28" w:rsidP="00616F28">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4EA061A5" w14:textId="77777777" w:rsidR="00616F28" w:rsidRPr="007D31A4" w:rsidRDefault="00616F28" w:rsidP="00616F28">
      <w:pPr>
        <w:numPr>
          <w:ilvl w:val="0"/>
          <w:numId w:val="4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Las distintas manifestaciones culturales</w:t>
      </w:r>
      <w:r w:rsidRPr="007D31A4">
        <w:rPr>
          <w:rFonts w:ascii="Bookman Old Style" w:eastAsia="Bookman Old Style" w:hAnsi="Bookman Old Style" w:cs="Bookman Old Style"/>
          <w:i/>
          <w:color w:val="000000"/>
          <w:sz w:val="22"/>
          <w:szCs w:val="22"/>
        </w:rPr>
        <w:t xml:space="preserve"> no son una expresión directa de la Constitución</w:t>
      </w:r>
      <w:r w:rsidRPr="007D31A4">
        <w:rPr>
          <w:rFonts w:ascii="Bookman Old Style" w:eastAsia="Bookman Old Style" w:hAnsi="Bookman Old Style" w:cs="Bookman Old Style"/>
          <w:color w:val="000000"/>
          <w:sz w:val="22"/>
          <w:szCs w:val="22"/>
        </w:rPr>
        <w:t xml:space="preserve">, sino fruto de la interacción de los distintos actores sociales determinados por un tiempo y un espacio específicos.  Por ende, no puede entenderse que, </w:t>
      </w:r>
      <w:r w:rsidRPr="007D31A4">
        <w:rPr>
          <w:rFonts w:ascii="Bookman Old Style" w:eastAsia="Bookman Old Style" w:hAnsi="Bookman Old Style" w:cs="Bookman Old Style"/>
          <w:i/>
          <w:color w:val="000000"/>
          <w:sz w:val="22"/>
          <w:szCs w:val="22"/>
        </w:rPr>
        <w:t>en sí mismas consideradas</w:t>
      </w:r>
      <w:r w:rsidRPr="007D31A4">
        <w:rPr>
          <w:rFonts w:ascii="Bookman Old Style" w:eastAsia="Bookman Old Style" w:hAnsi="Bookman Old Style" w:cs="Bookman Old Style"/>
          <w:color w:val="000000"/>
          <w:sz w:val="22"/>
          <w:szCs w:val="22"/>
        </w:rPr>
        <w:t>, esas manifestaciones sean concreción de postulados constitucionales, ni que cuenten con blindaje alguno que impida su limitación o incluso su prohibición, por ser contrarias a los valores sociales y constitucionales.</w:t>
      </w:r>
    </w:p>
    <w:p w14:paraId="79CED99E" w14:textId="77777777" w:rsidR="00616F28" w:rsidRPr="007D31A4" w:rsidRDefault="00616F28" w:rsidP="00616F28">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F7F8B12" w14:textId="77777777" w:rsidR="00616F28" w:rsidRPr="007D31A4" w:rsidRDefault="00616F28" w:rsidP="00616F28">
      <w:pPr>
        <w:numPr>
          <w:ilvl w:val="0"/>
          <w:numId w:val="42"/>
        </w:num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El Legislador, en ejercicio de su libertad de configuración normativa, puede prohibir las manifestaciones culturales que implican maltrato animal, si considera que debe primar el deber de protección de la fauna sobre la existencia de expresiones culturales que </w:t>
      </w:r>
      <w:r w:rsidRPr="007D31A4">
        <w:rPr>
          <w:rFonts w:ascii="Bookman Old Style" w:eastAsia="Bookman Old Style" w:hAnsi="Bookman Old Style" w:cs="Bookman Old Style"/>
          <w:i/>
          <w:color w:val="000000"/>
          <w:sz w:val="22"/>
          <w:szCs w:val="22"/>
        </w:rPr>
        <w:t>implican agravio a seres vivos</w:t>
      </w:r>
    </w:p>
    <w:p w14:paraId="2B06F101" w14:textId="77777777" w:rsidR="00616F28" w:rsidRPr="007D31A4" w:rsidRDefault="00616F28" w:rsidP="00616F28">
      <w:pPr>
        <w:pBdr>
          <w:top w:val="nil"/>
          <w:left w:val="nil"/>
          <w:bottom w:val="nil"/>
          <w:right w:val="nil"/>
          <w:between w:val="nil"/>
        </w:pBdr>
        <w:ind w:left="720"/>
        <w:rPr>
          <w:rFonts w:ascii="Bookman Old Style" w:eastAsia="Bookman Old Style" w:hAnsi="Bookman Old Style" w:cs="Bookman Old Style"/>
          <w:color w:val="000000"/>
          <w:sz w:val="22"/>
          <w:szCs w:val="22"/>
        </w:rPr>
      </w:pPr>
    </w:p>
    <w:p w14:paraId="08782C10" w14:textId="35F44043" w:rsidR="00616F28" w:rsidRDefault="00616F28" w:rsidP="00616F28">
      <w:pPr>
        <w:pStyle w:val="Prrafodelista"/>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lastRenderedPageBreak/>
        <w:t xml:space="preserve">La Constitución de 1991 y las leyes no son estáticas y pueden, y deben, cambiar para adaptarse a las nuevas realidades sociales.  </w:t>
      </w:r>
    </w:p>
    <w:p w14:paraId="3D62037E" w14:textId="1975B160" w:rsidR="00320E29" w:rsidRDefault="00320E29" w:rsidP="00320E29">
      <w:pPr>
        <w:rPr>
          <w:rFonts w:ascii="Bookman Old Style" w:hAnsi="Bookman Old Style"/>
          <w:b/>
          <w:sz w:val="22"/>
          <w:szCs w:val="22"/>
        </w:rPr>
      </w:pPr>
    </w:p>
    <w:p w14:paraId="5322703D" w14:textId="0A5CB700" w:rsidR="00320E29" w:rsidRDefault="000A5E18" w:rsidP="00320E29">
      <w:pPr>
        <w:pStyle w:val="Prrafodelista"/>
        <w:numPr>
          <w:ilvl w:val="1"/>
          <w:numId w:val="48"/>
        </w:numPr>
        <w:rPr>
          <w:rFonts w:ascii="Bookman Old Style" w:hAnsi="Bookman Old Style"/>
          <w:b/>
          <w:sz w:val="22"/>
          <w:szCs w:val="22"/>
        </w:rPr>
      </w:pPr>
      <w:r>
        <w:rPr>
          <w:rFonts w:ascii="Bookman Old Style" w:hAnsi="Bookman Old Style"/>
          <w:b/>
          <w:sz w:val="22"/>
          <w:szCs w:val="22"/>
        </w:rPr>
        <w:t>Sustento i</w:t>
      </w:r>
      <w:r w:rsidR="00320E29">
        <w:rPr>
          <w:rFonts w:ascii="Bookman Old Style" w:hAnsi="Bookman Old Style"/>
          <w:b/>
          <w:sz w:val="22"/>
          <w:szCs w:val="22"/>
        </w:rPr>
        <w:t>nternacional.</w:t>
      </w:r>
    </w:p>
    <w:p w14:paraId="222A6EB6" w14:textId="05AC9AE3" w:rsidR="00320E29" w:rsidRDefault="00320E29" w:rsidP="00320E29">
      <w:pPr>
        <w:rPr>
          <w:rFonts w:ascii="Bookman Old Style" w:hAnsi="Bookman Old Style"/>
          <w:b/>
          <w:sz w:val="22"/>
          <w:szCs w:val="22"/>
        </w:rPr>
      </w:pPr>
    </w:p>
    <w:p w14:paraId="21DC14DD"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Ahora bien, planteados los antecedentes normativos y jurisprudenciales locales, vale la pena revisar el tratamiento que se le ha otorgado a las prácticas culturales de las que trata este proyecto y a otras actividades que implican el uso de los animales, en otros países.</w:t>
      </w:r>
    </w:p>
    <w:p w14:paraId="13192C78"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7CBB2B6"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Como resultado de un conjunto de variables, entre ellas, cambios de paradigmas sociales y cambio de conciencia colectiva, los espectáculos con animales están siendo objeto de prohibiciones locales y nacionales progresivamente en muchos países del mundo, así como la eliminación de actividades tradicionales que conllevan maltrato o crueldad hacia los animales, teniendo en cuenta que la defensa de la vida está por encima de prácticas culturales. Los estados han hecho uso concomitante del poder legislativo, ejecutivo y judicial, para expedir fuentes de derecho de carácter vinculante y de obligatorio cumplimiento para ponerle fin a este tipo de espectáculos.</w:t>
      </w:r>
    </w:p>
    <w:p w14:paraId="6C93D604"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7E8658DA"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Países como Inglaterra, Italia, Argentina, Chile, Bolivia, Perú, China, entre muchos otros, han prohibido prácticas tradicionales como la caza, circos, fiestas religiosas o consumos de productos por considerarse que son una práctica violenta donde el maltrato animal es evidente.</w:t>
      </w:r>
    </w:p>
    <w:p w14:paraId="030B97B6"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EC7E5F9"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Sobre este asunto, vale la pena recordar el recuento realizado por la Sentencia C-283 de 2014, en la que resalta las legislaciones de Suecia, Dinamarca, Estonia, República Checa, Israel, Finlandia, Polonia, Singapur, India, Costa Rica, Nueva Zelanda, Austria, Bélgica, Portugal, Bolivia, Noruega, Panamá, Perú y Paraguay, que han prohibido el uso de animales en circos. </w:t>
      </w:r>
    </w:p>
    <w:p w14:paraId="05CE7EE5"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DE6BDEE"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Para el caso de la tauromaquia esta es prohibida en la mayoría de países del planeta. Solamente ocho países, España, Francia, Portugal, México, Venezuela, Perú, Ecuador y Colombia, mantienen la realización de corridas de toros en los cuales existe un fuerte trabajo en pos de su abolición.</w:t>
      </w:r>
    </w:p>
    <w:p w14:paraId="781129C6"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57C9AB9" w14:textId="078686C6" w:rsidR="00320E29" w:rsidRPr="007D31A4" w:rsidRDefault="000A5E18" w:rsidP="00320E29">
      <w:pPr>
        <w:pStyle w:val="Prrafodelista"/>
        <w:numPr>
          <w:ilvl w:val="1"/>
          <w:numId w:val="48"/>
        </w:numP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Sustento c</w:t>
      </w:r>
      <w:r w:rsidR="00320E29" w:rsidRPr="007D31A4">
        <w:rPr>
          <w:rFonts w:ascii="Bookman Old Style" w:eastAsia="Bookman Old Style" w:hAnsi="Bookman Old Style" w:cs="Bookman Old Style"/>
          <w:b/>
          <w:color w:val="000000"/>
          <w:sz w:val="22"/>
          <w:szCs w:val="22"/>
        </w:rPr>
        <w:t>ientífico</w:t>
      </w:r>
      <w:r>
        <w:rPr>
          <w:rFonts w:ascii="Bookman Old Style" w:eastAsia="Bookman Old Style" w:hAnsi="Bookman Old Style" w:cs="Bookman Old Style"/>
          <w:b/>
          <w:color w:val="000000"/>
          <w:sz w:val="22"/>
          <w:szCs w:val="22"/>
        </w:rPr>
        <w:t>.</w:t>
      </w:r>
    </w:p>
    <w:p w14:paraId="5848868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715E6C71" w14:textId="2C2451B6"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4</w:t>
      </w:r>
      <w:r w:rsidRPr="007D31A4">
        <w:rPr>
          <w:rFonts w:ascii="Bookman Old Style" w:eastAsia="Bookman Old Style" w:hAnsi="Bookman Old Style" w:cs="Bookman Old Style"/>
          <w:color w:val="000000"/>
          <w:sz w:val="22"/>
          <w:szCs w:val="22"/>
          <w:u w:val="single"/>
        </w:rPr>
        <w:t>.4.1. Lo que dice la ciencia veterinaria sobre las corridas de toros</w:t>
      </w:r>
    </w:p>
    <w:p w14:paraId="4E73251C"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26378F7"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La Asociación de Veterinarios Abolicionistas de la Tauromaquia (</w:t>
      </w:r>
      <w:proofErr w:type="spellStart"/>
      <w:r w:rsidRPr="007D31A4">
        <w:rPr>
          <w:rFonts w:ascii="Bookman Old Style" w:eastAsia="Bookman Old Style" w:hAnsi="Bookman Old Style" w:cs="Bookman Old Style"/>
          <w:color w:val="000000"/>
          <w:sz w:val="22"/>
          <w:szCs w:val="22"/>
        </w:rPr>
        <w:t>Avatma</w:t>
      </w:r>
      <w:proofErr w:type="spellEnd"/>
      <w:r w:rsidRPr="007D31A4">
        <w:rPr>
          <w:rFonts w:ascii="Bookman Old Style" w:eastAsia="Bookman Old Style" w:hAnsi="Bookman Old Style" w:cs="Bookman Old Style"/>
          <w:color w:val="000000"/>
          <w:sz w:val="22"/>
          <w:szCs w:val="22"/>
        </w:rPr>
        <w:t xml:space="preserve">) (2016), en particular su “Informe técnico veterinario sobre los espectáculos taurinos con vacas y vaquillas”, afirma: </w:t>
      </w:r>
    </w:p>
    <w:p w14:paraId="2D2474BF"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A9F9522"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i/>
          <w:color w:val="000000"/>
          <w:sz w:val="22"/>
          <w:szCs w:val="22"/>
        </w:rPr>
        <w:lastRenderedPageBreak/>
        <w:t>“A los toros, vaquillas y becerros que protagonizan estos festejos se les ingieren daños graves. El origen de ese daño procede de las manipulaciones, transporte, aislamiento, hambre, y sed a que son sometidos, partiendo de que, el simple hecho de sacarlos de su ambiente natural, provoca en ellos una intensa sensación de miedo que provoca respuestas orgánicas que pasarán de ser fisiológicas a patológicas, dada su incapacidad para adaptarse a estas nuevas situaciones, que son incompatibles con su naturaleza y que se realizan en entornos para ellos desconocidos. A las situaciones anómalas mencionadas anteriormente habrá que sumar como origen de ese daño,  la persecución, la incapacidad de huida, las agresiones, así como el continuo acosamiento al que se ven sometidos  por parte de las personas que acuden a estos espectáculos. La existencia fehaciente del daño la basamos en la visualización de las imágenes que nos llevan a concluir que si se realizarán determinaciones de ACTH, cortisol y catecolaminas en estos animales estaríamos ante cifras alarmantes que superarían con creces lo considerado como normal, basándonos en los estudios científicos realizados sobre animales de sus mismas razas sometidos a situaciones de estrés bastante similares a los espectáculos a los que nos referimos, e incluso a situaciones que en teoría podríamos considerar como menos perniciosas para su salud y bienestar. Todo esto nos lleva a concluir la existencia fehaciente de un sufrimiento físico y psíquico gratuito, sin ningún fin que podamos considerar de interés general o que lo pueda justificar”</w:t>
      </w:r>
      <w:r w:rsidRPr="007D31A4">
        <w:rPr>
          <w:rFonts w:ascii="Bookman Old Style" w:eastAsia="Bookman Old Style" w:hAnsi="Bookman Old Style" w:cs="Bookman Old Style"/>
          <w:i/>
          <w:color w:val="000000"/>
          <w:sz w:val="22"/>
          <w:szCs w:val="22"/>
          <w:vertAlign w:val="superscript"/>
        </w:rPr>
        <w:footnoteReference w:id="12"/>
      </w:r>
      <w:r w:rsidRPr="007D31A4">
        <w:rPr>
          <w:rFonts w:ascii="Bookman Old Style" w:eastAsia="Bookman Old Style" w:hAnsi="Bookman Old Style" w:cs="Bookman Old Style"/>
          <w:color w:val="000000"/>
          <w:sz w:val="22"/>
          <w:szCs w:val="22"/>
        </w:rPr>
        <w:t xml:space="preserve"> </w:t>
      </w:r>
    </w:p>
    <w:p w14:paraId="072919B7"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4ECC2538" w14:textId="5042D7A1"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u w:val="single"/>
        </w:rPr>
        <w:t>4</w:t>
      </w:r>
      <w:r w:rsidRPr="007D31A4">
        <w:rPr>
          <w:rFonts w:ascii="Bookman Old Style" w:eastAsia="Bookman Old Style" w:hAnsi="Bookman Old Style" w:cs="Bookman Old Style"/>
          <w:color w:val="000000"/>
          <w:sz w:val="22"/>
          <w:szCs w:val="22"/>
          <w:u w:val="single"/>
        </w:rPr>
        <w:t>.4.2. Sobre la invalidez de las regulaciones en la actividad taurina y la negativa a las denominadas “Corridas incruentas</w:t>
      </w:r>
      <w:r w:rsidRPr="007D31A4">
        <w:rPr>
          <w:rFonts w:ascii="Bookman Old Style" w:eastAsia="Bookman Old Style" w:hAnsi="Bookman Old Style" w:cs="Bookman Old Style"/>
          <w:color w:val="000000"/>
          <w:sz w:val="22"/>
          <w:szCs w:val="22"/>
        </w:rPr>
        <w:t>”.</w:t>
      </w:r>
    </w:p>
    <w:p w14:paraId="08BCC7D6"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4D4B2533"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Las corridas de toros no solo implican la violencia física que se muestra evidente, hacia los animales involucrados. Es necesario tener en cuenta el sufrimiento emocional o psicológico que conlleva para estos animales el ser partícipes obligados de esta actividad.</w:t>
      </w:r>
    </w:p>
    <w:p w14:paraId="56DEE1CE"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F89723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El etólogo español Jordi </w:t>
      </w:r>
      <w:proofErr w:type="spellStart"/>
      <w:r w:rsidRPr="007D31A4">
        <w:rPr>
          <w:rFonts w:ascii="Bookman Old Style" w:eastAsia="Bookman Old Style" w:hAnsi="Bookman Old Style" w:cs="Bookman Old Style"/>
          <w:color w:val="000000"/>
          <w:sz w:val="22"/>
          <w:szCs w:val="22"/>
        </w:rPr>
        <w:t>Casamitjana</w:t>
      </w:r>
      <w:proofErr w:type="spellEnd"/>
      <w:r w:rsidRPr="007D31A4">
        <w:rPr>
          <w:rFonts w:ascii="Bookman Old Style" w:eastAsia="Bookman Old Style" w:hAnsi="Bookman Old Style" w:cs="Bookman Old Style"/>
          <w:color w:val="000000"/>
          <w:sz w:val="22"/>
          <w:szCs w:val="22"/>
        </w:rPr>
        <w:t xml:space="preserve"> (2012)</w:t>
      </w:r>
      <w:r w:rsidRPr="007D31A4">
        <w:rPr>
          <w:rFonts w:ascii="Bookman Old Style" w:eastAsia="Bookman Old Style" w:hAnsi="Bookman Old Style" w:cs="Bookman Old Style"/>
          <w:color w:val="000000"/>
          <w:sz w:val="22"/>
          <w:szCs w:val="22"/>
          <w:vertAlign w:val="superscript"/>
        </w:rPr>
        <w:footnoteReference w:id="13"/>
      </w:r>
      <w:r w:rsidRPr="007D31A4">
        <w:rPr>
          <w:rFonts w:ascii="Bookman Old Style" w:eastAsia="Bookman Old Style" w:hAnsi="Bookman Old Style" w:cs="Bookman Old Style"/>
          <w:color w:val="000000"/>
          <w:sz w:val="22"/>
          <w:szCs w:val="22"/>
        </w:rPr>
        <w:t>, desarrolló un completo informe sobre todas las formas de maltrato, violencia y crueldad presentes en las corridas de toros, denominado “La Crueldad de las corridas incruentas”. Sobre el tema específico del sufrimiento emocional de los toros en las corridas, el informe sugiere que no existe algo como las corridas incruentas, que solo han intentado vender al público una imagen de la tauromaquia más políticamente correcta.</w:t>
      </w:r>
    </w:p>
    <w:p w14:paraId="16F00579"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10EA3BD"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lastRenderedPageBreak/>
        <w:t>La sola presencia del toro en una plaza ya involucra grandes niveles de maltrato emocional o sufrimiento psicológico para el animal, evidenciados en la incomodidad del animal por su cautiverio, el miedo ante un ambiente ajeno respecto al que está acostumbrado, la angustia por la experiencia aversiva vivida, y el estrés continuado para el que biológicamente no está dotado para responder adecuadamente.</w:t>
      </w:r>
    </w:p>
    <w:p w14:paraId="79AC46A6"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11F48F6"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Este tipo de sufrimiento psicológico, es todavía más común en el caso de las corridas “incruentas” en las que el toro sobrevive el espectáculo y o bien se le sacrifica unos días más tarde donde el estrés se va acumulando (como en muchas corridas al estilo portugués), o se le vuelve a hacer pasar por el mismo calvario varias veces con posterioridad, incluso durante el resto de su vida (como en las corridas autóctonas francesas).</w:t>
      </w:r>
    </w:p>
    <w:p w14:paraId="083EEC8C"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1056EE7"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De acuerdo con anterior, es posible concluir que las evidencias veterinarias y etológicas, evidencian que el maltrato a los toros y caballos es inevitable en cualquier tipo de corrida.  </w:t>
      </w:r>
    </w:p>
    <w:p w14:paraId="787C8F06"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D87C3CD" w14:textId="77C58784" w:rsidR="00320E29" w:rsidRPr="007D31A4" w:rsidRDefault="000A5E18" w:rsidP="00320E29">
      <w:pPr>
        <w:pStyle w:val="Prrafodelista"/>
        <w:numPr>
          <w:ilvl w:val="1"/>
          <w:numId w:val="48"/>
        </w:numP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Sustento s</w:t>
      </w:r>
      <w:r w:rsidR="00320E29" w:rsidRPr="007D31A4">
        <w:rPr>
          <w:rFonts w:ascii="Bookman Old Style" w:eastAsia="Bookman Old Style" w:hAnsi="Bookman Old Style" w:cs="Bookman Old Style"/>
          <w:b/>
          <w:color w:val="000000"/>
          <w:sz w:val="22"/>
          <w:szCs w:val="22"/>
        </w:rPr>
        <w:t>ocial</w:t>
      </w:r>
      <w:r>
        <w:rPr>
          <w:rFonts w:ascii="Bookman Old Style" w:eastAsia="Bookman Old Style" w:hAnsi="Bookman Old Style" w:cs="Bookman Old Style"/>
          <w:b/>
          <w:color w:val="000000"/>
          <w:sz w:val="22"/>
          <w:szCs w:val="22"/>
        </w:rPr>
        <w:t>.</w:t>
      </w:r>
    </w:p>
    <w:p w14:paraId="3C6F7B98"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1BE5542E" w14:textId="4C5BE7F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 xml:space="preserve">4.5.1 </w:t>
      </w:r>
      <w:r w:rsidRPr="007D31A4">
        <w:rPr>
          <w:rFonts w:ascii="Bookman Old Style" w:eastAsia="Bookman Old Style" w:hAnsi="Bookman Old Style" w:cs="Bookman Old Style"/>
          <w:color w:val="000000"/>
          <w:sz w:val="22"/>
          <w:szCs w:val="22"/>
          <w:u w:val="single"/>
        </w:rPr>
        <w:t xml:space="preserve">El toreo y su impacto negativo sobre la infancia </w:t>
      </w:r>
    </w:p>
    <w:p w14:paraId="47DB3A02"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404D3BA3"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La Ley 1098 del 2006 “Código de Infancia y Adolescencia”, trae un cúmulo de garantías que buscan hacer realidad el mandato constitucional de la prevalencia de los derechos de los niños, las niñas y los adolescentes. En este sentido, exige que la protección estatal debe ser máxima para posibilitar que, en un futuro, nuestros menores cuenten con un entorno sostenible, o por lo menos con una fauna y flora que cuidar.</w:t>
      </w:r>
    </w:p>
    <w:p w14:paraId="6DF5BF0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7AEF93E"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En este sentido, la Convención para los Derechos de los Niños de la ONU, en su informe de observaciones para Colombia del 4 de febrero de 2015</w:t>
      </w:r>
      <w:r w:rsidRPr="007D31A4">
        <w:rPr>
          <w:rFonts w:ascii="Bookman Old Style" w:eastAsia="Bookman Old Style" w:hAnsi="Bookman Old Style" w:cs="Bookman Old Style"/>
          <w:color w:val="000000"/>
          <w:sz w:val="22"/>
          <w:szCs w:val="22"/>
          <w:vertAlign w:val="superscript"/>
        </w:rPr>
        <w:footnoteReference w:id="14"/>
      </w:r>
      <w:r w:rsidRPr="007D31A4">
        <w:rPr>
          <w:rFonts w:ascii="Bookman Old Style" w:eastAsia="Bookman Old Style" w:hAnsi="Bookman Old Style" w:cs="Bookman Old Style"/>
          <w:color w:val="000000"/>
          <w:sz w:val="22"/>
          <w:szCs w:val="22"/>
        </w:rPr>
        <w:t xml:space="preserve">, recomendó, entre otras, proteger a los niños y niñas de la violencia de la tauromaquia, aspectos que deben ser tenidos en cuenta en el país, señalando de manera puntual: </w:t>
      </w:r>
    </w:p>
    <w:p w14:paraId="5E9C76E5"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38A11F3"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color w:val="000000"/>
          <w:sz w:val="22"/>
          <w:szCs w:val="22"/>
        </w:rPr>
        <w:t>“</w:t>
      </w:r>
      <w:r w:rsidRPr="007D31A4">
        <w:rPr>
          <w:rFonts w:ascii="Bookman Old Style" w:eastAsia="Bookman Old Style" w:hAnsi="Bookman Old Style" w:cs="Bookman Old Style"/>
          <w:i/>
          <w:color w:val="000000"/>
          <w:sz w:val="22"/>
          <w:szCs w:val="22"/>
        </w:rPr>
        <w:t>Apartado D. Violencia en contra de los niños (arts. 19, 24, párr.3, 28, párr. 2, 34, 37 (a) y 39)</w:t>
      </w:r>
    </w:p>
    <w:p w14:paraId="52DF5A30"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D93C524"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Libertad de los niños contra toda forma de violencia</w:t>
      </w:r>
    </w:p>
    <w:p w14:paraId="08FEF0E4"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76C0324"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27. El Comité está profundamente preocupado por los altos niveles de violencia al que se enfrentan los niños, y en particular, sobre: </w:t>
      </w:r>
    </w:p>
    <w:p w14:paraId="45C14B47"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 </w:t>
      </w:r>
    </w:p>
    <w:p w14:paraId="2371BC69"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5D55C4E9"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lastRenderedPageBreak/>
        <w:t xml:space="preserve">f) </w:t>
      </w:r>
      <w:r w:rsidRPr="007D31A4">
        <w:rPr>
          <w:rFonts w:ascii="Bookman Old Style" w:eastAsia="Bookman Old Style" w:hAnsi="Bookman Old Style" w:cs="Bookman Old Style"/>
          <w:i/>
          <w:color w:val="000000"/>
          <w:sz w:val="22"/>
          <w:szCs w:val="22"/>
          <w:u w:val="single"/>
        </w:rPr>
        <w:t>El bienestar físico y mental de los niños que participan en la formación/entrenamiento de la tauromaquia, y las actuaciones asociadas a ella, así como el bienestar mental y emocional de los niños espectadores que están expuestos a la violencia de la tauromaquia</w:t>
      </w:r>
      <w:r w:rsidRPr="007D31A4">
        <w:rPr>
          <w:rFonts w:ascii="Bookman Old Style" w:eastAsia="Bookman Old Style" w:hAnsi="Bookman Old Style" w:cs="Bookman Old Style"/>
          <w:i/>
          <w:color w:val="000000"/>
          <w:sz w:val="22"/>
          <w:szCs w:val="22"/>
        </w:rPr>
        <w:t xml:space="preserve">. </w:t>
      </w:r>
    </w:p>
    <w:p w14:paraId="3E700466"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6A658A27"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28. A la luz de la Observación general Nº 13 (2011) sobre el “Derecho del niño a no ser objeto de ninguna forma de violencia” y recordando las recomendaciones del estudio de las Naciones Unidas sobre la violencia en contra de los niños de 2006 (A/61/299), el Comité insta al Estado Parte a dar prioridad a la </w:t>
      </w:r>
      <w:r w:rsidRPr="007D31A4">
        <w:rPr>
          <w:rFonts w:ascii="Bookman Old Style" w:eastAsia="Bookman Old Style" w:hAnsi="Bookman Old Style" w:cs="Bookman Old Style"/>
          <w:i/>
          <w:color w:val="000000"/>
          <w:sz w:val="22"/>
          <w:szCs w:val="22"/>
          <w:u w:val="single"/>
        </w:rPr>
        <w:t>eliminación de todas las formas de violencia en contra de los niños</w:t>
      </w:r>
      <w:r w:rsidRPr="007D31A4">
        <w:rPr>
          <w:rFonts w:ascii="Bookman Old Style" w:eastAsia="Bookman Old Style" w:hAnsi="Bookman Old Style" w:cs="Bookman Old Style"/>
          <w:i/>
          <w:color w:val="000000"/>
          <w:sz w:val="22"/>
          <w:szCs w:val="22"/>
        </w:rPr>
        <w:t xml:space="preserve">, y en particular a: </w:t>
      </w:r>
    </w:p>
    <w:p w14:paraId="5471F6D9"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w:t>
      </w:r>
    </w:p>
    <w:p w14:paraId="3317C643"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21DD39B"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i) Con el objetivo de </w:t>
      </w:r>
      <w:r w:rsidRPr="007D31A4">
        <w:rPr>
          <w:rFonts w:ascii="Bookman Old Style" w:eastAsia="Bookman Old Style" w:hAnsi="Bookman Old Style" w:cs="Bookman Old Style"/>
          <w:i/>
          <w:color w:val="000000"/>
          <w:sz w:val="22"/>
          <w:szCs w:val="22"/>
          <w:u w:val="single"/>
        </w:rPr>
        <w:t>prohibir la participación de los niños en la tauromaquia</w:t>
      </w:r>
      <w:r w:rsidRPr="007D31A4">
        <w:rPr>
          <w:rFonts w:ascii="Bookman Old Style" w:eastAsia="Bookman Old Style" w:hAnsi="Bookman Old Style" w:cs="Bookman Old Style"/>
          <w:i/>
          <w:color w:val="000000"/>
          <w:sz w:val="22"/>
          <w:szCs w:val="22"/>
        </w:rPr>
        <w:t xml:space="preserve">, incluyendo las corralejas, </w:t>
      </w:r>
      <w:r w:rsidRPr="007D31A4">
        <w:rPr>
          <w:rFonts w:ascii="Bookman Old Style" w:eastAsia="Bookman Old Style" w:hAnsi="Bookman Old Style" w:cs="Bookman Old Style"/>
          <w:i/>
          <w:color w:val="000000"/>
          <w:sz w:val="22"/>
          <w:szCs w:val="22"/>
          <w:u w:val="single"/>
        </w:rPr>
        <w:t>tome las medidas legislativas y administrativas</w:t>
      </w:r>
      <w:r w:rsidRPr="007D31A4">
        <w:rPr>
          <w:rFonts w:ascii="Bookman Old Style" w:eastAsia="Bookman Old Style" w:hAnsi="Bookman Old Style" w:cs="Bookman Old Style"/>
          <w:i/>
          <w:color w:val="000000"/>
          <w:sz w:val="22"/>
          <w:szCs w:val="22"/>
        </w:rPr>
        <w:t xml:space="preserve"> necesarias con el fin de proteger a todos los niños que participan en la formación/entrenamiento y actuaciones en la tauromaquia, así como en su condición de espectadores, y a sensibilizar sobre la violencia física y mental asociada a la tauromaquia y su impacto en los niños. </w:t>
      </w:r>
    </w:p>
    <w:p w14:paraId="3D4B9DED"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8F664EB"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H. Medidas de protección especial (Artículos 22, 30, 32-33, 36, 37 (b)-(d), 38, 39 y 40))</w:t>
      </w:r>
    </w:p>
    <w:p w14:paraId="3F8A3A5A"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4ED6444"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Explotación económica, incluido el trabajo infantil</w:t>
      </w:r>
    </w:p>
    <w:p w14:paraId="122C48D1"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47F231AC"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i/>
          <w:color w:val="000000"/>
          <w:sz w:val="22"/>
          <w:szCs w:val="22"/>
        </w:rPr>
        <w:t xml:space="preserve">59. La explotación económica, incluido el trabajo infantil. El Comité toma nota de las medidas jurídicas y normativas adoptadas por el Estado parte para proteger a los niños de la explotación económica. Sin embargo, está preocupado por el elevado número de niños involucrados en el trabajo infantil. En particular, sigue profundamente preocupado por la participación persistente de niños en trabajos peligrosos y/o degradantes, como las labores agrícolas en los cultivos ilícitos, el narcotráfico, la minería ilegal y </w:t>
      </w:r>
      <w:r w:rsidRPr="007D31A4">
        <w:rPr>
          <w:rFonts w:ascii="Bookman Old Style" w:eastAsia="Bookman Old Style" w:hAnsi="Bookman Old Style" w:cs="Bookman Old Style"/>
          <w:i/>
          <w:color w:val="000000"/>
          <w:sz w:val="22"/>
          <w:szCs w:val="22"/>
          <w:u w:val="single"/>
        </w:rPr>
        <w:t>la tauromaquia</w:t>
      </w:r>
      <w:r w:rsidRPr="007D31A4">
        <w:rPr>
          <w:rFonts w:ascii="Bookman Old Style" w:eastAsia="Bookman Old Style" w:hAnsi="Bookman Old Style" w:cs="Bookman Old Style"/>
          <w:color w:val="000000"/>
          <w:sz w:val="22"/>
          <w:szCs w:val="22"/>
        </w:rPr>
        <w:t>”. (</w:t>
      </w:r>
      <w:proofErr w:type="gramStart"/>
      <w:r w:rsidRPr="007D31A4">
        <w:rPr>
          <w:rFonts w:ascii="Bookman Old Style" w:eastAsia="Bookman Old Style" w:hAnsi="Bookman Old Style" w:cs="Bookman Old Style"/>
          <w:color w:val="000000"/>
          <w:sz w:val="22"/>
          <w:szCs w:val="22"/>
        </w:rPr>
        <w:t>subrayado</w:t>
      </w:r>
      <w:proofErr w:type="gramEnd"/>
      <w:r w:rsidRPr="007D31A4">
        <w:rPr>
          <w:rFonts w:ascii="Bookman Old Style" w:eastAsia="Bookman Old Style" w:hAnsi="Bookman Old Style" w:cs="Bookman Old Style"/>
          <w:color w:val="000000"/>
          <w:sz w:val="22"/>
          <w:szCs w:val="22"/>
        </w:rPr>
        <w:t xml:space="preserve"> fuera de texto) </w:t>
      </w:r>
    </w:p>
    <w:p w14:paraId="316872B8"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0F05D184"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Por ello, el psicólogo Carlos Crespo (2017) afirma que la tauromaquia normaliza la violencia en la infancia que es llevada a estos espectáculos, sobre el particular, anota:</w:t>
      </w:r>
    </w:p>
    <w:p w14:paraId="6D43722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F7FC4D2"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color w:val="000000"/>
          <w:sz w:val="22"/>
          <w:szCs w:val="22"/>
        </w:rPr>
        <w:t>“</w:t>
      </w:r>
      <w:r w:rsidRPr="007D31A4">
        <w:rPr>
          <w:rFonts w:ascii="Bookman Old Style" w:eastAsia="Bookman Old Style" w:hAnsi="Bookman Old Style" w:cs="Bookman Old Style"/>
          <w:i/>
          <w:color w:val="000000"/>
          <w:sz w:val="22"/>
          <w:szCs w:val="22"/>
        </w:rPr>
        <w:t xml:space="preserve">La afición a la tauromaquia no es un proceso natural sino aprendido. Los niños y niñas en sus más tempranas etapas de desarrollo, aprenden a valorar la tauromaquia por medio del aprendizaje por observación. Las familias taurinas enseñan a sus </w:t>
      </w:r>
      <w:r w:rsidRPr="007D31A4">
        <w:rPr>
          <w:rFonts w:ascii="Bookman Old Style" w:eastAsia="Bookman Old Style" w:hAnsi="Bookman Old Style" w:cs="Bookman Old Style"/>
          <w:i/>
          <w:color w:val="000000"/>
          <w:sz w:val="22"/>
          <w:szCs w:val="22"/>
        </w:rPr>
        <w:lastRenderedPageBreak/>
        <w:t>hijos a valorar por medio de la atención selectiva, elementos y estímulos externos a la lidia del toro (la música, la comida, la vestimenta, la arquitectura de la plaza, etc.).</w:t>
      </w:r>
    </w:p>
    <w:p w14:paraId="73AE8706"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097EF01D"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Cuando la infancia es llevada a una corrida de toros por primera vez se enfrenta a una disonancia cognitiva, producto de sus más probables reacciones de empatía hacia el otro animal y rechazo hacia lo que le ocurre al animal en el ruedo (Siendo un estímulo aversivo) frente a la observación de las conductas de aprobación del evento por parte de sus padres, figuras de autoridad e identificación.</w:t>
      </w:r>
    </w:p>
    <w:p w14:paraId="65CE309F"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22C246C"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Cuando las familias llevan a sus hijos de manera continua a las corridas de toros, estos comienzan a valorar y priorizar los elementos de la tauromaquia (los que habían aprendido más otros nuevos, como el carácter de figura de los toreros, los tercios, los pases y en general, los clásicos argumentos taurinos como que es tradición, cultura, arte, rito, etc.)  </w:t>
      </w:r>
      <w:proofErr w:type="gramStart"/>
      <w:r w:rsidRPr="007D31A4">
        <w:rPr>
          <w:rFonts w:ascii="Bookman Old Style" w:eastAsia="Bookman Old Style" w:hAnsi="Bookman Old Style" w:cs="Bookman Old Style"/>
          <w:i/>
          <w:color w:val="000000"/>
          <w:sz w:val="22"/>
          <w:szCs w:val="22"/>
        </w:rPr>
        <w:t>y</w:t>
      </w:r>
      <w:proofErr w:type="gramEnd"/>
      <w:r w:rsidRPr="007D31A4">
        <w:rPr>
          <w:rFonts w:ascii="Bookman Old Style" w:eastAsia="Bookman Old Style" w:hAnsi="Bookman Old Style" w:cs="Bookman Old Style"/>
          <w:i/>
          <w:color w:val="000000"/>
          <w:sz w:val="22"/>
          <w:szCs w:val="22"/>
        </w:rPr>
        <w:t xml:space="preserve"> a dar menor importancia a lo que les ocurre a los animales (A los que solo valoran en cuanto a su utilidad en medio de la actividad). Estos elementos actúan como reforzadores y forjadores de sus conductas a favor de la tauromaquia produciéndose el proceso psicológico conocido como desensibilización sistemática que hace que el niño o la niña normalice progresivamente la violencia hacia toros y caballos en el contexto de la lidia, eliminando cualquier sentimiento negativo o aversivo a lo que le ocurre a estos últimos.</w:t>
      </w:r>
    </w:p>
    <w:p w14:paraId="627E02D9"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74020D7"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i/>
          <w:color w:val="000000"/>
          <w:sz w:val="22"/>
          <w:szCs w:val="22"/>
        </w:rPr>
        <w:t>Normalizar actos de violencia no es positivo ni compatible con una sociedad que busca consolidar un proceso de paz y por ello, educar a la infancia, para que no habitúe los refuerzos asociados a la tauromaquia y se desensibilice frente a lo que le ocurre al animal. Así mismo, se debe educar a la sociedad en general en el respeto hacia toda forma de vida sintiente, haciendo esto un imperativo moral que debe tener efectos legales. El fenómeno de la violencia debe ser combatida en todas sus formas de manera integral, no solamente en el contexto antropocéntrico</w:t>
      </w:r>
      <w:r w:rsidRPr="007D31A4">
        <w:rPr>
          <w:rFonts w:ascii="Bookman Old Style" w:eastAsia="Bookman Old Style" w:hAnsi="Bookman Old Style" w:cs="Bookman Old Style"/>
          <w:color w:val="000000"/>
          <w:sz w:val="22"/>
          <w:szCs w:val="22"/>
        </w:rPr>
        <w:t>”.</w:t>
      </w:r>
      <w:r w:rsidRPr="007D31A4">
        <w:rPr>
          <w:rFonts w:ascii="Bookman Old Style" w:eastAsia="Bookman Old Style" w:hAnsi="Bookman Old Style" w:cs="Bookman Old Style"/>
          <w:color w:val="000000"/>
          <w:sz w:val="22"/>
          <w:szCs w:val="22"/>
          <w:vertAlign w:val="superscript"/>
        </w:rPr>
        <w:footnoteReference w:id="15"/>
      </w:r>
    </w:p>
    <w:p w14:paraId="1238A210"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21ADFE01"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En consecuencia, es un imperativo, como Estado y sociedad, adoptar las medidas necesarias encaminadas a erradicar toda forma de violencia que pueda afectar la formación integral de nuestros niños, promoviendo, por el contrario, el respeto hacia todas las manifestaciones de vida y la no violencia.  </w:t>
      </w:r>
    </w:p>
    <w:p w14:paraId="2AF63D10"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43915A57" w14:textId="0AA4707F"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4</w:t>
      </w:r>
      <w:r w:rsidRPr="007D31A4">
        <w:rPr>
          <w:rFonts w:ascii="Bookman Old Style" w:eastAsia="Bookman Old Style" w:hAnsi="Bookman Old Style" w:cs="Bookman Old Style"/>
          <w:color w:val="000000"/>
          <w:sz w:val="22"/>
          <w:szCs w:val="22"/>
          <w:u w:val="single"/>
        </w:rPr>
        <w:t>.5.2. La convivencia se ve afectada con este tipo de actividades</w:t>
      </w:r>
    </w:p>
    <w:p w14:paraId="3A43990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4E5301E1"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La tauromaquia ha sido controversial desde sus inicios. En el caso colombiano, las expresiones públicas de rechazo a estas actividades no son nuevas. Rodolfo </w:t>
      </w:r>
      <w:proofErr w:type="spellStart"/>
      <w:r w:rsidRPr="007D31A4">
        <w:rPr>
          <w:rFonts w:ascii="Bookman Old Style" w:eastAsia="Bookman Old Style" w:hAnsi="Bookman Old Style" w:cs="Bookman Old Style"/>
          <w:color w:val="000000"/>
          <w:sz w:val="22"/>
          <w:szCs w:val="22"/>
        </w:rPr>
        <w:t>Kohn</w:t>
      </w:r>
      <w:proofErr w:type="spellEnd"/>
      <w:r w:rsidRPr="007D31A4">
        <w:rPr>
          <w:rFonts w:ascii="Bookman Old Style" w:eastAsia="Bookman Old Style" w:hAnsi="Bookman Old Style" w:cs="Bookman Old Style"/>
          <w:color w:val="000000"/>
          <w:sz w:val="22"/>
          <w:szCs w:val="22"/>
        </w:rPr>
        <w:t xml:space="preserve"> Olaya publicó un libro en 1952: </w:t>
      </w:r>
      <w:r w:rsidRPr="007D31A4">
        <w:rPr>
          <w:rFonts w:ascii="Bookman Old Style" w:eastAsia="Bookman Old Style" w:hAnsi="Bookman Old Style" w:cs="Bookman Old Style"/>
          <w:i/>
          <w:color w:val="000000"/>
          <w:sz w:val="22"/>
          <w:szCs w:val="22"/>
        </w:rPr>
        <w:t>De la Impía tauromaquia y su corruptor influjo - Significativos datos para un balance de la cultura en Colombia</w:t>
      </w:r>
      <w:r w:rsidRPr="007D31A4">
        <w:rPr>
          <w:rFonts w:ascii="Bookman Old Style" w:eastAsia="Bookman Old Style" w:hAnsi="Bookman Old Style" w:cs="Bookman Old Style"/>
          <w:color w:val="000000"/>
          <w:sz w:val="22"/>
          <w:szCs w:val="22"/>
        </w:rPr>
        <w:t>, convirtiéndose en pionero de una nueva forma de relación más respetuosa entre humanos y demás animales, que ha venido en constante crecimiento. La sociedad colombiana cuenta en el presente con un amplio consenso ciudadano sobre la necesidad de abolir la tauromaquia, como expresión de maltrato gratuito, e injustificado, que ha dado pie a una creciente insatisfacción por la imposición legal de su continuidad, que entes gubernamentales como el Ministerio del Interior, en la exposición de motivos del proyecto de ley 271 de 2017, refirieron como un problema de convivencia ciudadana que debe ser solucionado, exponiendo.</w:t>
      </w:r>
    </w:p>
    <w:p w14:paraId="617BE822"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985408F"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w:t>
      </w:r>
      <w:r w:rsidRPr="007D31A4">
        <w:rPr>
          <w:rFonts w:ascii="Bookman Old Style" w:eastAsia="Bookman Old Style" w:hAnsi="Bookman Old Style" w:cs="Bookman Old Style"/>
          <w:i/>
          <w:color w:val="000000"/>
          <w:sz w:val="22"/>
          <w:szCs w:val="22"/>
        </w:rPr>
        <w:t>Si estamos erradicando la violencia en nuestro país, debemos empezar a construir una sociedad basada en el respeto a la vida y a los demás; así mismo avanzar en la dirección más humanitaria de otros países que han eliminado la tortura de seres sintientes como espectáculo. La eliminación de prácticas como la tauromaquia, se correspondería con la promoción del desarrollo de valores deseables en la sociedad como del respeto hacia el otro, constituyéndose, así como una de tantas estrategias para superar la violencia, insolidaridad y crueldad por razones injustificables y, de paso, contribuir a garantizar la no repetición de la guerra, superar la violencia, insolidaridad y crueldad y de paso garantizar la no repetición de la guerra</w:t>
      </w:r>
      <w:r w:rsidRPr="007D31A4">
        <w:rPr>
          <w:rFonts w:ascii="Bookman Old Style" w:eastAsia="Bookman Old Style" w:hAnsi="Bookman Old Style" w:cs="Bookman Old Style"/>
          <w:color w:val="000000"/>
          <w:sz w:val="22"/>
          <w:szCs w:val="22"/>
        </w:rPr>
        <w:t>”.</w:t>
      </w:r>
    </w:p>
    <w:p w14:paraId="380A907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0855930E" w14:textId="001ED658"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4</w:t>
      </w:r>
      <w:r w:rsidRPr="007D31A4">
        <w:rPr>
          <w:rFonts w:ascii="Bookman Old Style" w:eastAsia="Bookman Old Style" w:hAnsi="Bookman Old Style" w:cs="Bookman Old Style"/>
          <w:color w:val="000000"/>
          <w:sz w:val="22"/>
          <w:szCs w:val="22"/>
          <w:u w:val="single"/>
        </w:rPr>
        <w:t>.5.3. Pertinencia social</w:t>
      </w:r>
    </w:p>
    <w:p w14:paraId="55F747C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b/>
          <w:i/>
          <w:color w:val="000000"/>
          <w:sz w:val="22"/>
          <w:szCs w:val="22"/>
        </w:rPr>
      </w:pPr>
    </w:p>
    <w:p w14:paraId="0A8A0A12"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Desde las mesas de trabajo realizadas en el marco del proyecto de Ley anterior, radicado por el Ministerio del Interior, hasta el sector que representa a los defensores de animales, se  manifestó la necesidad de desarrollar un plan para apoyar laboralmente a quienes comprueben que su estabilidad económica depende únicamente de la actividad taurina, como una mecanismo efectivo y concreto de sustitución y reconversión laboral, emulando ejemplos exitosos como el de las familias que vivían de los vehículos de tracción animal, desarrollados en ciudades como Medellín, Manizales, Cali y Bogotá, entre otras.</w:t>
      </w:r>
    </w:p>
    <w:p w14:paraId="6CB1076A"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5E765428"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Este proceso de sustitución laboral es fundamental para cerrar la brecha social que impacta en Colombia, dado que tradicionalmente quienes trabajan en el sector taurino, carecen de plenas garantías laborales como las debe tener cualquier trabajador formal, máxime cuando es un trabajo con un alto riesgo a la integridad física. Es común ver las quejas del sector de los toreros, banderilleros, mozos de espadas, </w:t>
      </w:r>
      <w:proofErr w:type="spellStart"/>
      <w:r w:rsidRPr="007D31A4">
        <w:rPr>
          <w:rFonts w:ascii="Bookman Old Style" w:eastAsia="Bookman Old Style" w:hAnsi="Bookman Old Style" w:cs="Bookman Old Style"/>
          <w:color w:val="000000"/>
          <w:sz w:val="22"/>
          <w:szCs w:val="22"/>
        </w:rPr>
        <w:t>etc</w:t>
      </w:r>
      <w:proofErr w:type="spellEnd"/>
      <w:r w:rsidRPr="007D31A4">
        <w:rPr>
          <w:rFonts w:ascii="Bookman Old Style" w:eastAsia="Bookman Old Style" w:hAnsi="Bookman Old Style" w:cs="Bookman Old Style"/>
          <w:color w:val="000000"/>
          <w:sz w:val="22"/>
          <w:szCs w:val="22"/>
        </w:rPr>
        <w:t xml:space="preserve">, por el abandono en cuestiones sociales, de salud y pensionales en el que se encuentran. </w:t>
      </w:r>
    </w:p>
    <w:p w14:paraId="7C877D09"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4D4C1C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La abolición del toreo da pie a crear nuevas economías creativas y alternativas, donde se mantenga la historia de la tauromaquia por medio de la museología, la gastronomía, la música y otras expresiones, sin tapar el contenido estético que para algunos pueda tener, ni mucho menos olvidarlo como inspiración a numerosas piezas del arte.</w:t>
      </w:r>
    </w:p>
    <w:p w14:paraId="211B8EF2"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394799AE"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Así mismo las Plazas de Toros, como ha sucedido en muchas partes del mundo, se pueden convertir en epicentros de prácticas circenses, comerciales y sociales. Una Plaza de éstas es el espacio ideal para una galería comercial, que puede ser administrada por quienes antes vivían de las corridas de toros, con la diferencia que con este nuevo eje económico sí tendrían estabilidad laboral con todas las garantías que todo ciudadano debe tener. Son numerosos los ejemplos de reconversión de plazas de toros en otro tipo de espacios para fines diferentes a la explotación animal: La plaza de toros de las arenas en Barcelona (España), es un centro comercial, la antigua plaza de toros en Zacatecas (México) es ahora un hotel, en Caracas (Venezuela), su plaza de toros se convirtió en el nuevo circo de Caracas, escenario para el arte y la cultura. Finalmente, en Colombia la plaza de Santamaría fue durante cinco años escenario para espectáculos artísticos, deportivos y culturales. El último ejemplo lo ofrece la población de Toledo en Norte de Santander, cuya plaza de toros será convertida en Coso municipal destinado a la atención y el bienestar animal.</w:t>
      </w:r>
    </w:p>
    <w:p w14:paraId="0ADF71C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91D3A75" w14:textId="52FDD1FB"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4</w:t>
      </w:r>
      <w:r w:rsidRPr="007D31A4">
        <w:rPr>
          <w:rFonts w:ascii="Bookman Old Style" w:eastAsia="Bookman Old Style" w:hAnsi="Bookman Old Style" w:cs="Bookman Old Style"/>
          <w:color w:val="000000"/>
          <w:sz w:val="22"/>
          <w:szCs w:val="22"/>
          <w:u w:val="single"/>
        </w:rPr>
        <w:t>.5.4. Aspectos bioéticos: El deber de no maleficencia</w:t>
      </w:r>
    </w:p>
    <w:p w14:paraId="31587FCF"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B2BF1D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La defensa de la vida e integridad de un ser sintiente debe estar por encima de la defensa de la cultura o la tradición. De acuerdo al Psicólogo y Magíster en Bioética Carlos Crespo (2013):</w:t>
      </w:r>
    </w:p>
    <w:p w14:paraId="4FEA273D"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64F03057"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w:t>
      </w:r>
      <w:r w:rsidRPr="007D31A4">
        <w:rPr>
          <w:rFonts w:ascii="Bookman Old Style" w:eastAsia="Bookman Old Style" w:hAnsi="Bookman Old Style" w:cs="Bookman Old Style"/>
          <w:i/>
          <w:color w:val="000000"/>
          <w:sz w:val="22"/>
          <w:szCs w:val="22"/>
        </w:rPr>
        <w:t xml:space="preserve">el principio de no maleficencia es considerado el principio base mínimo. La no maleficencia obliga a no dañar intencionalmente a los demás, a respetar a los demás, a no hacer daño entendido como no herir ni física o moralmente. La importancia de este principio está dada en cuanto asegura la vida e integridad física de los individuos, su supervivencia, asegurando que no se será dañado, ya sea por ejecución de una acción dañina, o la omisión de una acción que debió hacerse para evitar el daño. </w:t>
      </w:r>
    </w:p>
    <w:p w14:paraId="6D7B69FF"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329E4729" w14:textId="77777777" w:rsidR="00320E29" w:rsidRPr="007D31A4" w:rsidRDefault="00320E29" w:rsidP="00320E29">
      <w:pPr>
        <w:pBdr>
          <w:top w:val="nil"/>
          <w:left w:val="nil"/>
          <w:bottom w:val="nil"/>
          <w:right w:val="nil"/>
          <w:between w:val="nil"/>
        </w:pBdr>
        <w:ind w:left="851" w:right="900"/>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No es necesario relatar los elementos de una corrida de toros para saber que este principio está siendo violado…</w:t>
      </w:r>
      <w:r w:rsidRPr="007D31A4">
        <w:rPr>
          <w:rFonts w:ascii="Bookman Old Style" w:eastAsia="Bookman Old Style" w:hAnsi="Bookman Old Style" w:cs="Bookman Old Style"/>
          <w:color w:val="000000"/>
          <w:sz w:val="22"/>
          <w:szCs w:val="22"/>
        </w:rPr>
        <w:t>”.</w:t>
      </w:r>
      <w:r w:rsidRPr="007D31A4">
        <w:rPr>
          <w:rFonts w:ascii="Bookman Old Style" w:eastAsia="Bookman Old Style" w:hAnsi="Bookman Old Style" w:cs="Bookman Old Style"/>
          <w:color w:val="000000"/>
          <w:sz w:val="22"/>
          <w:szCs w:val="22"/>
          <w:vertAlign w:val="superscript"/>
        </w:rPr>
        <w:footnoteReference w:id="16"/>
      </w:r>
      <w:r w:rsidRPr="007D31A4">
        <w:rPr>
          <w:rFonts w:ascii="Bookman Old Style" w:eastAsia="Bookman Old Style" w:hAnsi="Bookman Old Style" w:cs="Bookman Old Style"/>
          <w:color w:val="000000"/>
          <w:sz w:val="22"/>
          <w:szCs w:val="22"/>
        </w:rPr>
        <w:br/>
      </w:r>
    </w:p>
    <w:p w14:paraId="7D1CBC8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No es necesario relatar los elementos de una corrida de toros para saber que este principio está siendo violado…El no hacer daño a otro es una obligación moral” </w:t>
      </w:r>
    </w:p>
    <w:p w14:paraId="527A19BB"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p>
    <w:p w14:paraId="3139F0E1" w14:textId="36302548" w:rsidR="00320E29" w:rsidRPr="007D31A4" w:rsidRDefault="00861C3D"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4</w:t>
      </w:r>
      <w:r w:rsidR="00320E29" w:rsidRPr="007D31A4">
        <w:rPr>
          <w:rFonts w:ascii="Bookman Old Style" w:eastAsia="Bookman Old Style" w:hAnsi="Bookman Old Style" w:cs="Bookman Old Style"/>
          <w:color w:val="000000"/>
          <w:sz w:val="22"/>
          <w:szCs w:val="22"/>
          <w:u w:val="single"/>
        </w:rPr>
        <w:t>.5.5. El sector taurino no es una minoría vulnerable</w:t>
      </w:r>
    </w:p>
    <w:p w14:paraId="16DAA854"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D786805"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La población taurina ha buscado ser protegida en sus gustos y libertades como una minoría. Sin embargo, no pueden ser considerados una minoría constitucionalmente protegida. Sobre éste aspecto, Carlos Crespo afirmó (2017): </w:t>
      </w:r>
    </w:p>
    <w:p w14:paraId="6F3B68EC"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55350F28"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color w:val="000000"/>
          <w:sz w:val="22"/>
          <w:szCs w:val="22"/>
        </w:rPr>
        <w:t>“</w:t>
      </w:r>
      <w:r w:rsidRPr="007D31A4">
        <w:rPr>
          <w:rFonts w:ascii="Bookman Old Style" w:eastAsia="Bookman Old Style" w:hAnsi="Bookman Old Style" w:cs="Bookman Old Style"/>
          <w:i/>
          <w:color w:val="000000"/>
          <w:sz w:val="22"/>
          <w:szCs w:val="22"/>
        </w:rPr>
        <w:t>Se ha considerado minoría a aquellos grupos poblacionales que han sufrido la discriminación, el sometimiento, la violencia, de manera histórica y sistemática, y que a pesar de virtuales avances en el discurso de DDHH por la equidad, siguen siendo segregados y no teniendo acceso igualitario a los derechos básicos y al desarrollo de capacidades en la sociedad, tornándolos en poblaciones vulnerables que deben ser protegidas por el estado o por sus comunidades, emitiendo por ejemplo políticas públicas, leyes, etc., que garanticen sus vidas, integridad y desarrollo, así como el equilibrio de su posición desfavorable en la sociedad.</w:t>
      </w:r>
    </w:p>
    <w:p w14:paraId="6F93613F"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 </w:t>
      </w:r>
    </w:p>
    <w:p w14:paraId="0406A76D"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Ejemplo de estas comunidades son las personas afros, indígenas, LGBTI, desplazadas, exiliadas, refugiadas, habitantes de calle, personas en ejercicio de prostitución, personas con discapacidades y desde hace un tiempo, también se ha ampliado el concepto a los animales no humanos. Las grandes desigualdades sociales y el aniquilamiento de las poblaciones vulnerables han dado paso a la protección no solo de sus derechos básicos sino a la ampliación de la protección a sus cosmovisiones, formas de vida, usos y costumbres. Una minoría, entendida como población vulnerable no siempre tiene que ver con números. Las mujeres son mayoría en el planeta pero hacen parte de las poblaciones vulnerables desde su posición desfavorable y desigual en la sociedad. La infancia y las personas mayores son otro ejemplo de ello. Eso quiere decir que se protegen las poblaciones por sus características de vulnerabilidad, no por ser pocas en términos numéricos. Son estas las minorías con las que toda la población debe solidarizarse y eliminar todo tipo de discriminación.</w:t>
      </w:r>
    </w:p>
    <w:p w14:paraId="0E51A5B1"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 </w:t>
      </w:r>
    </w:p>
    <w:p w14:paraId="6D4E2767"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i/>
          <w:color w:val="000000"/>
          <w:sz w:val="22"/>
          <w:szCs w:val="22"/>
        </w:rPr>
        <w:t>Es en el sentido estricto de minorías protegidas constitucionalmente, que se puede afirmar de manera tajante que los taurinos NO son una minoría, y que a pesar de que pueden ser asumidos como tal de manera numérica, son un grupo de interés sin ningún derecho especial a proteger más allá de otros grupos de interés como los aficionados a un equipo de fútbol o el club de fans de un grupo musical</w:t>
      </w:r>
      <w:r w:rsidRPr="007D31A4">
        <w:rPr>
          <w:rFonts w:ascii="Bookman Old Style" w:eastAsia="Bookman Old Style" w:hAnsi="Bookman Old Style" w:cs="Bookman Old Style"/>
          <w:color w:val="000000"/>
          <w:sz w:val="22"/>
          <w:szCs w:val="22"/>
        </w:rPr>
        <w:t>”.</w:t>
      </w:r>
      <w:r w:rsidRPr="007D31A4">
        <w:rPr>
          <w:rFonts w:ascii="Bookman Old Style" w:eastAsia="Bookman Old Style" w:hAnsi="Bookman Old Style" w:cs="Bookman Old Style"/>
          <w:color w:val="000000"/>
          <w:sz w:val="22"/>
          <w:szCs w:val="22"/>
          <w:vertAlign w:val="superscript"/>
        </w:rPr>
        <w:footnoteReference w:id="17"/>
      </w:r>
    </w:p>
    <w:p w14:paraId="6A4A8BC8"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48E1711D" w14:textId="77803661"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u w:val="single"/>
        </w:rPr>
      </w:pPr>
      <w:r>
        <w:rPr>
          <w:rFonts w:ascii="Bookman Old Style" w:eastAsia="Bookman Old Style" w:hAnsi="Bookman Old Style" w:cs="Bookman Old Style"/>
          <w:color w:val="000000"/>
          <w:sz w:val="22"/>
          <w:szCs w:val="22"/>
          <w:u w:val="single"/>
        </w:rPr>
        <w:t>4</w:t>
      </w:r>
      <w:r w:rsidRPr="007D31A4">
        <w:rPr>
          <w:rFonts w:ascii="Bookman Old Style" w:eastAsia="Bookman Old Style" w:hAnsi="Bookman Old Style" w:cs="Bookman Old Style"/>
          <w:color w:val="000000"/>
          <w:sz w:val="22"/>
          <w:szCs w:val="22"/>
          <w:u w:val="single"/>
        </w:rPr>
        <w:t>.5.6. Sobre el argumento de que las corridas de toros son arte</w:t>
      </w:r>
    </w:p>
    <w:p w14:paraId="0BBD503D"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8BBDA72"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El afamado artista, director y actor de cine y teatro Fabio Rubiano (2017), rechaza que las corridas de toros sean consideradas una expresión artística. Sobre el particular afirma:</w:t>
      </w:r>
    </w:p>
    <w:p w14:paraId="59B840A6"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color w:val="000000"/>
          <w:sz w:val="22"/>
          <w:szCs w:val="22"/>
        </w:rPr>
        <w:t xml:space="preserve"> </w:t>
      </w:r>
    </w:p>
    <w:p w14:paraId="0C94F640"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“Uno de los argumentos más poderosos de los taurinos es cuando hacen referencia a los grandes artistas que han generado obras de arte a partir de esa práctica: Picasso, Botero, Miró, Buñuel, Hemingway. Parten para sus creaciones de la plasticidad dancística del banderillero, de la presencia mítica del toro (la continua referencia al minotauro), o de lo atractivo de la pasión suicida de un torero.</w:t>
      </w:r>
    </w:p>
    <w:p w14:paraId="49B7B5D7"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 </w:t>
      </w:r>
    </w:p>
    <w:p w14:paraId="27C7C29D"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A partir de un acto de barbarie se han creado muchas obras de arte, lo cual es muy diferente a decir que un acto de barbarie sea asumido como una expresión artística. Algún artista posmoderno ha puesto a un perro a morir de hambre como acción estética, y algún otro ha mutilado pollos en una galería. Para mí, dichas acciones aparte de ser crueles son vacías</w:t>
      </w:r>
    </w:p>
    <w:p w14:paraId="3581BBC8"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 </w:t>
      </w:r>
    </w:p>
    <w:p w14:paraId="4D0DAAB7"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Al final de una de las funciones de la obra Labio de liebre que hicimos en México, se hizo un foro. Como el que se acostumbraba a hacer en Colombia en los años 60 y 70. La obra gira alrededor de algunos de los muchos episodios de las atrocidades que nos deja la guerra en nuestro país. El público expresaba su conmoción por lo que se acababa de contar, gente del Perú, de México, de Estados Unidos; pero hubo una señora colombiana que dijo lo que muchas veces escuchamos de nuestros compatriotas: ¿Por qué habiendo tantas cosas buenas en Colombia se va a otros países a hablar de lo malo?</w:t>
      </w:r>
    </w:p>
    <w:p w14:paraId="205B1E20"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 xml:space="preserve"> </w:t>
      </w:r>
    </w:p>
    <w:p w14:paraId="629F7DD3"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p>
    <w:p w14:paraId="1BAAFD71" w14:textId="77777777" w:rsidR="00320E29" w:rsidRPr="007D31A4" w:rsidRDefault="00320E29" w:rsidP="00320E29">
      <w:pPr>
        <w:pBdr>
          <w:top w:val="nil"/>
          <w:left w:val="nil"/>
          <w:bottom w:val="nil"/>
          <w:right w:val="nil"/>
          <w:between w:val="nil"/>
        </w:pBdr>
        <w:ind w:left="851" w:right="900"/>
        <w:jc w:val="both"/>
        <w:rPr>
          <w:rFonts w:ascii="Bookman Old Style" w:eastAsia="Bookman Old Style" w:hAnsi="Bookman Old Style" w:cs="Bookman Old Style"/>
          <w:i/>
          <w:color w:val="000000"/>
          <w:sz w:val="22"/>
          <w:szCs w:val="22"/>
        </w:rPr>
      </w:pPr>
      <w:r w:rsidRPr="007D31A4">
        <w:rPr>
          <w:rFonts w:ascii="Bookman Old Style" w:eastAsia="Bookman Old Style" w:hAnsi="Bookman Old Style" w:cs="Bookman Old Style"/>
          <w:i/>
          <w:color w:val="000000"/>
          <w:sz w:val="22"/>
          <w:szCs w:val="22"/>
        </w:rPr>
        <w:t>En el martirio no hay arte, solo dolor. El arte es lo más alejado que existe de la muerte”.</w:t>
      </w:r>
      <w:r w:rsidRPr="007D31A4">
        <w:rPr>
          <w:rFonts w:ascii="Bookman Old Style" w:eastAsia="Bookman Old Style" w:hAnsi="Bookman Old Style" w:cs="Bookman Old Style"/>
          <w:i/>
          <w:color w:val="000000"/>
          <w:sz w:val="22"/>
          <w:szCs w:val="22"/>
          <w:vertAlign w:val="superscript"/>
        </w:rPr>
        <w:footnoteReference w:id="18"/>
      </w:r>
    </w:p>
    <w:p w14:paraId="09C9A036" w14:textId="77777777" w:rsidR="00320E29" w:rsidRPr="007D31A4" w:rsidRDefault="00320E29" w:rsidP="00320E29">
      <w:pPr>
        <w:pBdr>
          <w:top w:val="nil"/>
          <w:left w:val="nil"/>
          <w:bottom w:val="nil"/>
          <w:right w:val="nil"/>
          <w:between w:val="nil"/>
        </w:pBdr>
        <w:rPr>
          <w:rFonts w:ascii="Bookman Old Style" w:eastAsia="Bookman Old Style" w:hAnsi="Bookman Old Style" w:cs="Bookman Old Style"/>
          <w:color w:val="000000"/>
          <w:sz w:val="22"/>
          <w:szCs w:val="22"/>
        </w:rPr>
      </w:pPr>
    </w:p>
    <w:p w14:paraId="1713E806" w14:textId="45B42879" w:rsidR="00320E29" w:rsidRPr="00320E29" w:rsidRDefault="000A5E18" w:rsidP="00320E29">
      <w:pPr>
        <w:pStyle w:val="Prrafodelista"/>
        <w:numPr>
          <w:ilvl w:val="1"/>
          <w:numId w:val="48"/>
        </w:numPr>
        <w:rPr>
          <w:rFonts w:ascii="Bookman Old Style" w:eastAsia="Bookman Old Style" w:hAnsi="Bookman Old Style" w:cs="Bookman Old Style"/>
          <w:b/>
          <w:color w:val="000000"/>
          <w:sz w:val="22"/>
          <w:szCs w:val="22"/>
        </w:rPr>
      </w:pPr>
      <w:r>
        <w:rPr>
          <w:rFonts w:ascii="Bookman Old Style" w:eastAsia="Bookman Old Style" w:hAnsi="Bookman Old Style" w:cs="Bookman Old Style"/>
          <w:b/>
          <w:color w:val="000000"/>
          <w:sz w:val="22"/>
          <w:szCs w:val="22"/>
        </w:rPr>
        <w:t>Sustento e</w:t>
      </w:r>
      <w:r w:rsidR="00320E29" w:rsidRPr="00320E29">
        <w:rPr>
          <w:rFonts w:ascii="Bookman Old Style" w:eastAsia="Bookman Old Style" w:hAnsi="Bookman Old Style" w:cs="Bookman Old Style"/>
          <w:b/>
          <w:color w:val="000000"/>
          <w:sz w:val="22"/>
          <w:szCs w:val="22"/>
        </w:rPr>
        <w:t>conómico</w:t>
      </w:r>
      <w:r>
        <w:rPr>
          <w:rFonts w:ascii="Bookman Old Style" w:eastAsia="Bookman Old Style" w:hAnsi="Bookman Old Style" w:cs="Bookman Old Style"/>
          <w:b/>
          <w:color w:val="000000"/>
          <w:sz w:val="22"/>
          <w:szCs w:val="22"/>
        </w:rPr>
        <w:t>.</w:t>
      </w:r>
    </w:p>
    <w:p w14:paraId="71B8EEB1" w14:textId="77777777" w:rsidR="00320E29" w:rsidRPr="007D31A4" w:rsidRDefault="00320E29" w:rsidP="00320E29">
      <w:pPr>
        <w:pBdr>
          <w:top w:val="nil"/>
          <w:left w:val="nil"/>
          <w:bottom w:val="nil"/>
          <w:right w:val="nil"/>
          <w:between w:val="nil"/>
        </w:pBdr>
        <w:rPr>
          <w:rFonts w:ascii="Bookman Old Style" w:eastAsia="Bookman Old Style" w:hAnsi="Bookman Old Style" w:cs="Bookman Old Style"/>
          <w:color w:val="000000"/>
          <w:sz w:val="22"/>
          <w:szCs w:val="22"/>
        </w:rPr>
      </w:pPr>
    </w:p>
    <w:p w14:paraId="5EA9E533"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La Fundación Colectivo Identidad Animal realizó en 2018 una investigación denominada “</w:t>
      </w:r>
      <w:r w:rsidRPr="007D31A4">
        <w:rPr>
          <w:rFonts w:ascii="Bookman Old Style" w:eastAsia="Bookman Old Style" w:hAnsi="Bookman Old Style" w:cs="Bookman Old Style"/>
          <w:i/>
          <w:color w:val="000000"/>
          <w:sz w:val="22"/>
          <w:szCs w:val="22"/>
        </w:rPr>
        <w:t>El Impacto de la Tauromaquia en la ciudad de Manizales, Caldas</w:t>
      </w:r>
      <w:r w:rsidRPr="007D31A4">
        <w:rPr>
          <w:rFonts w:ascii="Bookman Old Style" w:eastAsia="Bookman Old Style" w:hAnsi="Bookman Old Style" w:cs="Bookman Old Style"/>
          <w:i/>
          <w:color w:val="000000"/>
          <w:sz w:val="22"/>
          <w:szCs w:val="22"/>
          <w:vertAlign w:val="superscript"/>
        </w:rPr>
        <w:footnoteReference w:id="19"/>
      </w:r>
      <w:r w:rsidRPr="007D31A4">
        <w:rPr>
          <w:rFonts w:ascii="Bookman Old Style" w:eastAsia="Bookman Old Style" w:hAnsi="Bookman Old Style" w:cs="Bookman Old Style"/>
          <w:color w:val="000000"/>
          <w:sz w:val="22"/>
          <w:szCs w:val="22"/>
        </w:rPr>
        <w:t xml:space="preserve">”, que demuestra que si se da la abolición de las corridas de toros, la feria de </w:t>
      </w:r>
      <w:r w:rsidRPr="007D31A4">
        <w:rPr>
          <w:rFonts w:ascii="Bookman Old Style" w:eastAsia="Bookman Old Style" w:hAnsi="Bookman Old Style" w:cs="Bookman Old Style"/>
          <w:color w:val="000000"/>
          <w:sz w:val="22"/>
          <w:szCs w:val="22"/>
        </w:rPr>
        <w:lastRenderedPageBreak/>
        <w:t>Manizales no sufrirá ningún impacto económico significativo. Un resumen de éste informe es el siguiente:</w:t>
      </w:r>
    </w:p>
    <w:p w14:paraId="36CABAC2" w14:textId="77777777" w:rsidR="00320E29" w:rsidRPr="007D31A4" w:rsidRDefault="00320E29" w:rsidP="00320E29">
      <w:pPr>
        <w:pBdr>
          <w:top w:val="nil"/>
          <w:left w:val="nil"/>
          <w:bottom w:val="nil"/>
          <w:right w:val="nil"/>
          <w:between w:val="nil"/>
        </w:pBdr>
        <w:rPr>
          <w:rFonts w:ascii="Bookman Old Style" w:eastAsia="Bookman Old Style" w:hAnsi="Bookman Old Style" w:cs="Bookman Old Style"/>
          <w:color w:val="000000"/>
          <w:sz w:val="22"/>
          <w:szCs w:val="22"/>
        </w:rPr>
      </w:pPr>
    </w:p>
    <w:p w14:paraId="1A6B672A"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Hace más de 60 años se realizan eventos taurinos celebrados en el marco anual de la Feria de Manizales; el presente estudio tuvo como fin investigar el impacto económico y social de esta festividad, haciendo especial énfasis en el turismo, la ocupación hotelera versus la asistencia a las corridas, se realizó un análisis cuantitativo en donde se comparó el comportamiento fluctuante de las anteriores variables. </w:t>
      </w:r>
    </w:p>
    <w:p w14:paraId="25618310"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28EDB742"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De la misma manera se analizaron las utilidades de la Feria entre los años 2013 – 2017, con el fin de tener una base comparativa para sustentar los paralelos económicos de diferentes situaciones. </w:t>
      </w:r>
    </w:p>
    <w:p w14:paraId="429C2C87"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C6510CE"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Adicionalmente, se hace mención del Festival Internacional de Teatro y cómo su capacidad de atracción cultural y turística establece una alternativa de ingresos e internacionalización de la ciudad. </w:t>
      </w:r>
    </w:p>
    <w:p w14:paraId="4C429FE7"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2FD3E81"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Una vez recopilado los datos estadísticos de las diferentes fuentes de información, se puede concluir que: la variación de la ocupación hotelera y de turistas en la ciudad no es directamente proporcional con la asistencia a eventos taurinos; los datos analizados demuestran que la financiación y utilidades de la Feria de Manizales depende netamente de los patrocinadores y la Alcaldía, generando aumentos en las utilidades sin depender de la fluctuación en asistentes a los eventos taurinos; el ingreso de turistas a la feria no es directamente proporcional con la asistencia a la plaza; finalmente, cabe resaltar que en gran medida los empleos generados en la feria no son a raíz de los eventos taurinos, por los que no se puede considerar como un punto de referencia económico y que sea relevante en los informes de la Feria de Manizales entregados por el ICTM.</w:t>
      </w:r>
    </w:p>
    <w:p w14:paraId="3853AFAF"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7D8797B9" w14:textId="77777777" w:rsidR="00320E29" w:rsidRPr="007D31A4" w:rsidRDefault="00320E29" w:rsidP="00320E29">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Si lo anterior es demostrado para Manizales, como la principal plaza taurina del país, es válido extrapolar estos resultados a otras ciudades de Colombia.</w:t>
      </w:r>
    </w:p>
    <w:p w14:paraId="5D620B44" w14:textId="5D235F79" w:rsidR="00616F28" w:rsidRDefault="00616F28" w:rsidP="004C68F2">
      <w:pPr>
        <w:jc w:val="both"/>
        <w:rPr>
          <w:rFonts w:ascii="Bookman Old Style" w:hAnsi="Bookman Old Style"/>
          <w:bCs/>
          <w:color w:val="000000" w:themeColor="text1"/>
          <w:sz w:val="22"/>
          <w:szCs w:val="22"/>
        </w:rPr>
      </w:pPr>
      <w:bookmarkStart w:id="5" w:name="OLE_LINK8"/>
    </w:p>
    <w:p w14:paraId="31128085" w14:textId="77777777" w:rsidR="00320E29" w:rsidRPr="004C68F2" w:rsidRDefault="00320E29" w:rsidP="004C68F2">
      <w:pPr>
        <w:jc w:val="both"/>
        <w:rPr>
          <w:rFonts w:ascii="Bookman Old Style" w:hAnsi="Bookman Old Style" w:cs="Arial"/>
          <w:sz w:val="22"/>
          <w:szCs w:val="22"/>
        </w:rPr>
      </w:pPr>
    </w:p>
    <w:p w14:paraId="576F9CF5" w14:textId="77777777" w:rsidR="0027337E" w:rsidRPr="004C68F2" w:rsidRDefault="0027337E" w:rsidP="00320E29">
      <w:pPr>
        <w:pStyle w:val="Ttulo1"/>
        <w:numPr>
          <w:ilvl w:val="0"/>
          <w:numId w:val="48"/>
        </w:numPr>
        <w:spacing w:before="0"/>
        <w:rPr>
          <w:szCs w:val="22"/>
        </w:rPr>
      </w:pPr>
      <w:bookmarkStart w:id="6" w:name="_Toc48731943"/>
      <w:bookmarkEnd w:id="5"/>
      <w:r w:rsidRPr="004C68F2">
        <w:rPr>
          <w:szCs w:val="22"/>
        </w:rPr>
        <w:t>COMPETENCIA DEL CONGRESO.</w:t>
      </w:r>
      <w:bookmarkEnd w:id="6"/>
      <w:r w:rsidRPr="004C68F2">
        <w:rPr>
          <w:szCs w:val="22"/>
        </w:rPr>
        <w:t xml:space="preserve"> </w:t>
      </w:r>
    </w:p>
    <w:p w14:paraId="6FE54AC7" w14:textId="77777777" w:rsidR="0027337E" w:rsidRPr="004C68F2" w:rsidRDefault="0027337E" w:rsidP="004C68F2">
      <w:pPr>
        <w:pStyle w:val="Prrafodelista"/>
        <w:jc w:val="both"/>
        <w:rPr>
          <w:rFonts w:ascii="Bookman Old Style" w:hAnsi="Bookman Old Style"/>
          <w:b/>
          <w:bCs/>
          <w:color w:val="000000" w:themeColor="text1"/>
          <w:sz w:val="22"/>
          <w:szCs w:val="22"/>
        </w:rPr>
      </w:pPr>
    </w:p>
    <w:p w14:paraId="4A72A416" w14:textId="77777777" w:rsidR="0027337E" w:rsidRPr="004C68F2" w:rsidRDefault="0027337E" w:rsidP="00320E29">
      <w:pPr>
        <w:pStyle w:val="Ttulo2"/>
        <w:numPr>
          <w:ilvl w:val="1"/>
          <w:numId w:val="48"/>
        </w:numPr>
        <w:spacing w:before="0"/>
        <w:rPr>
          <w:szCs w:val="22"/>
        </w:rPr>
      </w:pPr>
      <w:bookmarkStart w:id="7" w:name="_Toc48731944"/>
      <w:r w:rsidRPr="004C68F2">
        <w:rPr>
          <w:szCs w:val="22"/>
        </w:rPr>
        <w:t>Constitucional</w:t>
      </w:r>
      <w:bookmarkEnd w:id="7"/>
    </w:p>
    <w:p w14:paraId="2B0DBA22" w14:textId="77777777" w:rsidR="0027337E" w:rsidRPr="004C68F2" w:rsidRDefault="0027337E" w:rsidP="004C68F2">
      <w:pPr>
        <w:jc w:val="both"/>
        <w:rPr>
          <w:rFonts w:ascii="Bookman Old Style" w:hAnsi="Bookman Old Style"/>
          <w:b/>
          <w:color w:val="000000" w:themeColor="text1"/>
          <w:sz w:val="22"/>
          <w:szCs w:val="22"/>
        </w:rPr>
      </w:pPr>
    </w:p>
    <w:p w14:paraId="48AA7189"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w:t>
      </w:r>
      <w:r w:rsidRPr="004C68F2">
        <w:rPr>
          <w:rFonts w:ascii="Bookman Old Style" w:hAnsi="Bookman Old Style"/>
          <w:b/>
          <w:i/>
          <w:sz w:val="22"/>
          <w:szCs w:val="22"/>
          <w:lang w:val="es-ES"/>
        </w:rPr>
        <w:t>ARTICULO</w:t>
      </w:r>
      <w:r w:rsidRPr="004C68F2">
        <w:rPr>
          <w:rFonts w:ascii="Bookman Old Style" w:hAnsi="Bookman Old Style"/>
          <w:b/>
          <w:bCs/>
          <w:i/>
          <w:sz w:val="22"/>
          <w:szCs w:val="22"/>
          <w:lang w:val="es-ES"/>
        </w:rPr>
        <w:t>  215. </w:t>
      </w:r>
      <w:r w:rsidRPr="004C68F2">
        <w:rPr>
          <w:rFonts w:ascii="Bookman Old Style" w:hAnsi="Bookman Old Style"/>
          <w:i/>
          <w:sz w:val="22"/>
          <w:szCs w:val="22"/>
          <w:lang w:val="es-ES"/>
        </w:rPr>
        <w:t xml:space="preserve">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w:t>
      </w:r>
      <w:r w:rsidRPr="004C68F2">
        <w:rPr>
          <w:rFonts w:ascii="Bookman Old Style" w:hAnsi="Bookman Old Style"/>
          <w:i/>
          <w:sz w:val="22"/>
          <w:szCs w:val="22"/>
          <w:lang w:val="es-ES"/>
        </w:rPr>
        <w:lastRenderedPageBreak/>
        <w:t>caso, que sumados no podrán exceder de noventa días en el año calendario.</w:t>
      </w:r>
    </w:p>
    <w:p w14:paraId="4DD25DAD" w14:textId="77777777" w:rsidR="0027337E" w:rsidRPr="004C68F2" w:rsidRDefault="0027337E" w:rsidP="004C68F2">
      <w:pPr>
        <w:ind w:left="851" w:right="900"/>
        <w:contextualSpacing/>
        <w:jc w:val="both"/>
        <w:rPr>
          <w:rFonts w:ascii="Bookman Old Style" w:hAnsi="Bookman Old Style"/>
          <w:i/>
          <w:sz w:val="22"/>
          <w:szCs w:val="22"/>
          <w:lang w:val="es-ES"/>
        </w:rPr>
      </w:pPr>
    </w:p>
    <w:p w14:paraId="1A608593"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Mediante tal declaración, que deberá ser motivada, podrá el Presidente, con la firma de todos los ministros, dictar decretos con fuerza de ley, destinados exclusivamente a conjurar la crisis y a impedir la extensión de sus efectos.</w:t>
      </w:r>
    </w:p>
    <w:p w14:paraId="03F11613" w14:textId="77777777" w:rsidR="0027337E" w:rsidRPr="004C68F2" w:rsidRDefault="0027337E" w:rsidP="004C68F2">
      <w:pPr>
        <w:ind w:left="851" w:right="900"/>
        <w:contextualSpacing/>
        <w:jc w:val="both"/>
        <w:rPr>
          <w:rFonts w:ascii="Bookman Old Style" w:hAnsi="Bookman Old Style"/>
          <w:i/>
          <w:sz w:val="22"/>
          <w:szCs w:val="22"/>
          <w:lang w:val="es-ES"/>
        </w:rPr>
      </w:pPr>
    </w:p>
    <w:p w14:paraId="52E876D2"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 xml:space="preserve">Estos decretos deberán referirse a materias que tengan relación directa y específica con el Estado de Emergencia, y podrán, en forma transitoria, establecer nuevos tributos o modificar los existentes. </w:t>
      </w:r>
      <w:r w:rsidRPr="004C68F2">
        <w:rPr>
          <w:rFonts w:ascii="Bookman Old Style" w:hAnsi="Bookman Old Style"/>
          <w:b/>
          <w:i/>
          <w:sz w:val="22"/>
          <w:szCs w:val="22"/>
          <w:u w:val="single"/>
          <w:lang w:val="es-ES"/>
        </w:rPr>
        <w:t>En estos últimos casos, las medidas dejarán de regir al término de la siguiente vigencia fiscal, salvo que el Congreso, durante el año siguiente, les otorgue carácter permanente</w:t>
      </w:r>
      <w:r w:rsidRPr="004C68F2">
        <w:rPr>
          <w:rFonts w:ascii="Bookman Old Style" w:hAnsi="Bookman Old Style"/>
          <w:i/>
          <w:sz w:val="22"/>
          <w:szCs w:val="22"/>
          <w:lang w:val="es-ES"/>
        </w:rPr>
        <w:t>.</w:t>
      </w:r>
    </w:p>
    <w:p w14:paraId="3B233EAA" w14:textId="77777777" w:rsidR="0027337E" w:rsidRPr="004C68F2" w:rsidRDefault="0027337E" w:rsidP="004C68F2">
      <w:pPr>
        <w:ind w:left="851" w:right="900"/>
        <w:contextualSpacing/>
        <w:jc w:val="both"/>
        <w:rPr>
          <w:rFonts w:ascii="Bookman Old Style" w:hAnsi="Bookman Old Style"/>
          <w:i/>
          <w:sz w:val="22"/>
          <w:szCs w:val="22"/>
          <w:lang w:val="es-ES"/>
        </w:rPr>
      </w:pPr>
    </w:p>
    <w:p w14:paraId="5227DA92"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14:paraId="5DF8F292" w14:textId="77777777" w:rsidR="0027337E" w:rsidRPr="004C68F2" w:rsidRDefault="0027337E" w:rsidP="004C68F2">
      <w:pPr>
        <w:ind w:left="851" w:right="900"/>
        <w:contextualSpacing/>
        <w:jc w:val="both"/>
        <w:rPr>
          <w:rFonts w:ascii="Bookman Old Style" w:hAnsi="Bookman Old Style"/>
          <w:i/>
          <w:sz w:val="22"/>
          <w:szCs w:val="22"/>
          <w:lang w:val="es-ES"/>
        </w:rPr>
      </w:pPr>
    </w:p>
    <w:p w14:paraId="327EBB95"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w:t>
      </w:r>
    </w:p>
    <w:p w14:paraId="42EF1639" w14:textId="77777777" w:rsidR="0027337E" w:rsidRPr="004C68F2" w:rsidRDefault="0027337E" w:rsidP="004C68F2">
      <w:pPr>
        <w:ind w:left="851" w:right="900"/>
        <w:contextualSpacing/>
        <w:jc w:val="both"/>
        <w:rPr>
          <w:rFonts w:ascii="Bookman Old Style" w:hAnsi="Bookman Old Style"/>
          <w:i/>
          <w:sz w:val="22"/>
          <w:szCs w:val="22"/>
          <w:lang w:val="es-ES"/>
        </w:rPr>
      </w:pPr>
    </w:p>
    <w:p w14:paraId="69347367"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b/>
          <w:i/>
          <w:sz w:val="22"/>
          <w:szCs w:val="22"/>
          <w:u w:val="single"/>
          <w:lang w:val="es-ES"/>
        </w:rPr>
        <w:t>El Congreso, durante el año siguiente a la declaratoria de la emergencia, podrá derogar, modificar o adicionar los decretos a que se refiere este artículo, en aquellas materias que ordinariamente son de iniciativa del Gobierno</w:t>
      </w:r>
      <w:r w:rsidRPr="004C68F2">
        <w:rPr>
          <w:rFonts w:ascii="Bookman Old Style" w:hAnsi="Bookman Old Style"/>
          <w:i/>
          <w:sz w:val="22"/>
          <w:szCs w:val="22"/>
          <w:lang w:val="es-ES"/>
        </w:rPr>
        <w:t>. En relación con aquellas que son de iniciativa de sus miembros, el Congreso podrá ejercer dichas atribuciones en todo tiempo.</w:t>
      </w:r>
    </w:p>
    <w:p w14:paraId="1C3C296F" w14:textId="77777777" w:rsidR="0027337E" w:rsidRPr="004C68F2" w:rsidRDefault="0027337E" w:rsidP="004C68F2">
      <w:pPr>
        <w:ind w:left="851" w:right="900"/>
        <w:contextualSpacing/>
        <w:jc w:val="both"/>
        <w:rPr>
          <w:rFonts w:ascii="Bookman Old Style" w:hAnsi="Bookman Old Style"/>
          <w:i/>
          <w:sz w:val="22"/>
          <w:szCs w:val="22"/>
          <w:lang w:val="es-ES"/>
        </w:rPr>
      </w:pPr>
    </w:p>
    <w:p w14:paraId="4B0E5A32"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El Congreso, si no fuere convocado, se reunirá por derecho propio, en las condiciones y para los efectos previstos en este artículo.</w:t>
      </w:r>
    </w:p>
    <w:p w14:paraId="00A705F6" w14:textId="77777777" w:rsidR="0027337E" w:rsidRPr="004C68F2" w:rsidRDefault="0027337E" w:rsidP="004C68F2">
      <w:pPr>
        <w:ind w:left="851" w:right="900"/>
        <w:contextualSpacing/>
        <w:jc w:val="both"/>
        <w:rPr>
          <w:rFonts w:ascii="Bookman Old Style" w:hAnsi="Bookman Old Style"/>
          <w:i/>
          <w:sz w:val="22"/>
          <w:szCs w:val="22"/>
          <w:lang w:val="es-ES"/>
        </w:rPr>
      </w:pPr>
    </w:p>
    <w:p w14:paraId="229C6105"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w:t>
      </w:r>
    </w:p>
    <w:p w14:paraId="6442CE90" w14:textId="77777777" w:rsidR="0027337E" w:rsidRPr="004C68F2" w:rsidRDefault="0027337E" w:rsidP="004C68F2">
      <w:pPr>
        <w:ind w:left="851" w:right="900"/>
        <w:contextualSpacing/>
        <w:jc w:val="both"/>
        <w:rPr>
          <w:rFonts w:ascii="Bookman Old Style" w:hAnsi="Bookman Old Style"/>
          <w:i/>
          <w:sz w:val="22"/>
          <w:szCs w:val="22"/>
          <w:lang w:val="es-ES"/>
        </w:rPr>
      </w:pPr>
    </w:p>
    <w:p w14:paraId="71FB562B" w14:textId="77777777" w:rsidR="0027337E" w:rsidRPr="004C68F2" w:rsidRDefault="0027337E" w:rsidP="004C68F2">
      <w:pPr>
        <w:ind w:left="851" w:right="900"/>
        <w:contextualSpacing/>
        <w:jc w:val="both"/>
        <w:rPr>
          <w:rFonts w:ascii="Bookman Old Style" w:hAnsi="Bookman Old Style"/>
          <w:i/>
          <w:sz w:val="22"/>
          <w:szCs w:val="22"/>
          <w:lang w:val="es-ES"/>
        </w:rPr>
      </w:pPr>
      <w:r w:rsidRPr="004C68F2">
        <w:rPr>
          <w:rFonts w:ascii="Bookman Old Style" w:hAnsi="Bookman Old Style"/>
          <w:i/>
          <w:sz w:val="22"/>
          <w:szCs w:val="22"/>
          <w:lang w:val="es-ES"/>
        </w:rPr>
        <w:lastRenderedPageBreak/>
        <w:t>El Gobierno no podrá desmejorar los derechos sociales de los trabajadores mediante los decretos contemplados en este artículo.</w:t>
      </w:r>
    </w:p>
    <w:p w14:paraId="5225AEB3" w14:textId="77777777" w:rsidR="0027337E" w:rsidRPr="004C68F2" w:rsidRDefault="0027337E" w:rsidP="004C68F2">
      <w:pPr>
        <w:ind w:left="851" w:right="900"/>
        <w:contextualSpacing/>
        <w:jc w:val="both"/>
        <w:rPr>
          <w:rFonts w:ascii="Bookman Old Style" w:hAnsi="Bookman Old Style"/>
          <w:i/>
          <w:sz w:val="22"/>
          <w:szCs w:val="22"/>
          <w:lang w:val="es-ES"/>
        </w:rPr>
      </w:pPr>
    </w:p>
    <w:p w14:paraId="0AABE545" w14:textId="77777777" w:rsidR="0027337E" w:rsidRPr="004C68F2" w:rsidRDefault="0027337E" w:rsidP="004C68F2">
      <w:pPr>
        <w:ind w:left="851" w:right="900"/>
        <w:contextualSpacing/>
        <w:jc w:val="both"/>
        <w:rPr>
          <w:rFonts w:ascii="Bookman Old Style" w:hAnsi="Bookman Old Style"/>
          <w:i/>
          <w:color w:val="333333"/>
          <w:sz w:val="22"/>
          <w:szCs w:val="22"/>
          <w:lang w:val="es-ES"/>
        </w:rPr>
      </w:pPr>
      <w:r w:rsidRPr="004C68F2">
        <w:rPr>
          <w:rFonts w:ascii="Bookman Old Style" w:hAnsi="Bookman Old Style"/>
          <w:b/>
          <w:i/>
          <w:sz w:val="22"/>
          <w:szCs w:val="22"/>
          <w:lang w:val="es-ES"/>
        </w:rPr>
        <w:t>PARAGRAFO</w:t>
      </w:r>
      <w:r w:rsidRPr="004C68F2">
        <w:rPr>
          <w:rFonts w:ascii="Bookman Old Style" w:hAnsi="Bookman Old Style"/>
          <w:b/>
          <w:bCs/>
          <w:i/>
          <w:sz w:val="22"/>
          <w:szCs w:val="22"/>
          <w:lang w:val="es-ES"/>
        </w:rPr>
        <w:t>.</w:t>
      </w:r>
      <w:r w:rsidRPr="004C68F2">
        <w:rPr>
          <w:rFonts w:ascii="Bookman Old Style" w:hAnsi="Bookman Old Style"/>
          <w:i/>
          <w:sz w:val="22"/>
          <w:szCs w:val="22"/>
          <w:lang w:val="es-ES"/>
        </w:rPr>
        <w:t>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w:t>
      </w:r>
      <w:r w:rsidRPr="004C68F2">
        <w:rPr>
          <w:rFonts w:ascii="Bookman Old Style" w:hAnsi="Bookman Old Style"/>
          <w:i/>
          <w:color w:val="333333"/>
          <w:sz w:val="22"/>
          <w:szCs w:val="22"/>
          <w:lang w:val="es-ES"/>
        </w:rPr>
        <w:t xml:space="preserve"> </w:t>
      </w:r>
      <w:r w:rsidRPr="004C68F2">
        <w:rPr>
          <w:rFonts w:ascii="Bookman Old Style" w:hAnsi="Bookman Old Style"/>
          <w:color w:val="000000" w:themeColor="text1"/>
          <w:sz w:val="22"/>
          <w:szCs w:val="22"/>
          <w:lang w:val="es-ES"/>
        </w:rPr>
        <w:t>(Subrayado negrilla nuestros).</w:t>
      </w:r>
    </w:p>
    <w:p w14:paraId="7F872C2E" w14:textId="77777777" w:rsidR="0027337E" w:rsidRPr="004C68F2" w:rsidRDefault="0027337E" w:rsidP="004C68F2">
      <w:pPr>
        <w:jc w:val="both"/>
        <w:rPr>
          <w:rFonts w:ascii="Bookman Old Style" w:hAnsi="Bookman Old Style"/>
          <w:b/>
          <w:color w:val="000000" w:themeColor="text1"/>
          <w:sz w:val="22"/>
          <w:szCs w:val="22"/>
        </w:rPr>
      </w:pPr>
    </w:p>
    <w:p w14:paraId="7FB6CFAD" w14:textId="77777777" w:rsidR="0027337E" w:rsidRPr="004C68F2" w:rsidRDefault="0027337E" w:rsidP="004C68F2">
      <w:pPr>
        <w:jc w:val="both"/>
        <w:rPr>
          <w:rFonts w:ascii="Bookman Old Style" w:hAnsi="Bookman Old Style"/>
          <w:b/>
          <w:color w:val="000000" w:themeColor="text1"/>
          <w:sz w:val="22"/>
          <w:szCs w:val="22"/>
        </w:rPr>
      </w:pPr>
    </w:p>
    <w:p w14:paraId="234A2080" w14:textId="77777777" w:rsidR="0027337E" w:rsidRPr="004C68F2" w:rsidRDefault="0027337E" w:rsidP="00320E29">
      <w:pPr>
        <w:pStyle w:val="Ttulo2"/>
        <w:numPr>
          <w:ilvl w:val="1"/>
          <w:numId w:val="48"/>
        </w:numPr>
        <w:spacing w:before="0"/>
        <w:rPr>
          <w:szCs w:val="22"/>
        </w:rPr>
      </w:pPr>
      <w:bookmarkStart w:id="8" w:name="_Toc48731945"/>
      <w:r w:rsidRPr="004C68F2">
        <w:rPr>
          <w:szCs w:val="22"/>
        </w:rPr>
        <w:t>Legal</w:t>
      </w:r>
      <w:bookmarkEnd w:id="8"/>
      <w:r w:rsidRPr="004C68F2">
        <w:rPr>
          <w:szCs w:val="22"/>
        </w:rPr>
        <w:t xml:space="preserve"> </w:t>
      </w:r>
    </w:p>
    <w:p w14:paraId="6DCDA3B1" w14:textId="77777777" w:rsidR="0027337E" w:rsidRPr="004C68F2" w:rsidRDefault="0027337E" w:rsidP="004C68F2">
      <w:pPr>
        <w:pStyle w:val="Prrafodelista"/>
        <w:ind w:left="1080"/>
        <w:jc w:val="both"/>
        <w:rPr>
          <w:rFonts w:ascii="Bookman Old Style" w:hAnsi="Bookman Old Style"/>
          <w:b/>
          <w:color w:val="000000" w:themeColor="text1"/>
          <w:sz w:val="22"/>
          <w:szCs w:val="22"/>
          <w:u w:val="single"/>
        </w:rPr>
      </w:pPr>
    </w:p>
    <w:p w14:paraId="050DAB4D" w14:textId="77777777" w:rsidR="0027337E" w:rsidRPr="004C68F2" w:rsidRDefault="0027337E" w:rsidP="004C68F2">
      <w:pPr>
        <w:jc w:val="both"/>
        <w:rPr>
          <w:rFonts w:ascii="Bookman Old Style" w:hAnsi="Bookman Old Style" w:cs="Arial"/>
          <w:b/>
          <w:sz w:val="22"/>
          <w:szCs w:val="22"/>
          <w:lang w:val="es-ES" w:eastAsia="es-ES"/>
        </w:rPr>
      </w:pPr>
      <w:r w:rsidRPr="004C68F2">
        <w:rPr>
          <w:rFonts w:ascii="Bookman Old Style" w:hAnsi="Bookman Old Style"/>
          <w:b/>
          <w:color w:val="000000" w:themeColor="text1"/>
          <w:sz w:val="22"/>
          <w:szCs w:val="22"/>
          <w:lang w:val="es-ES"/>
        </w:rPr>
        <w:t>LEY 3 DE 1992.</w:t>
      </w:r>
      <w:r w:rsidRPr="004C68F2">
        <w:rPr>
          <w:rFonts w:ascii="Bookman Old Style" w:hAnsi="Bookman Old Style" w:cs="Arial"/>
          <w:b/>
          <w:sz w:val="22"/>
          <w:szCs w:val="22"/>
          <w:lang w:val="es-ES" w:eastAsia="es-ES"/>
        </w:rPr>
        <w:t xml:space="preserve"> POR LA CUAL SE EXPIDEN NORMAS SOBRE LAS COMISIONES DEL CONGRESO DE COLOMBIA Y SE DICTAN OTRAS DISPOSICIONES.</w:t>
      </w:r>
    </w:p>
    <w:p w14:paraId="78714EF5" w14:textId="77777777" w:rsidR="0027337E" w:rsidRPr="004C68F2" w:rsidRDefault="0027337E" w:rsidP="004C68F2">
      <w:pPr>
        <w:jc w:val="both"/>
        <w:rPr>
          <w:rFonts w:ascii="Bookman Old Style" w:hAnsi="Bookman Old Style" w:cs="Calibri"/>
          <w:b/>
          <w:color w:val="000000" w:themeColor="text1"/>
          <w:sz w:val="22"/>
          <w:szCs w:val="22"/>
          <w:lang w:val="es-ES" w:eastAsia="es-ES_tradnl"/>
        </w:rPr>
      </w:pPr>
    </w:p>
    <w:p w14:paraId="2DEF10BB"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b/>
          <w:i/>
          <w:color w:val="000000" w:themeColor="text1"/>
          <w:sz w:val="22"/>
          <w:szCs w:val="22"/>
          <w:lang w:val="es-ES"/>
        </w:rPr>
        <w:t xml:space="preserve">ARTÍCULO 2º </w:t>
      </w:r>
      <w:r w:rsidRPr="004C68F2">
        <w:rPr>
          <w:rFonts w:ascii="Bookman Old Style" w:hAnsi="Bookman Old Style"/>
          <w:i/>
          <w:color w:val="000000" w:themeColor="text1"/>
          <w:sz w:val="22"/>
          <w:szCs w:val="22"/>
          <w:lang w:val="es-ES"/>
        </w:rPr>
        <w:t>Tanto en el Senado como en la Cámara de Representantes funcionarán Comisiones Constitucionales Permanentes, encargadas de dar primer debate a los proyectos de acto legislativo o de ley referente a los asuntos de su competencia.</w:t>
      </w:r>
    </w:p>
    <w:p w14:paraId="476195FF"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i/>
          <w:color w:val="000000" w:themeColor="text1"/>
          <w:sz w:val="22"/>
          <w:szCs w:val="22"/>
          <w:lang w:val="es-ES"/>
        </w:rPr>
        <w:t>Las Comisiones Constitucionales Permanentes en cada una de las Cámaras serán siete (7) a saber:</w:t>
      </w:r>
    </w:p>
    <w:p w14:paraId="05C43D18" w14:textId="77777777" w:rsidR="0027337E" w:rsidRPr="004C68F2" w:rsidRDefault="0027337E" w:rsidP="004C68F2">
      <w:pPr>
        <w:ind w:left="851" w:right="900"/>
        <w:jc w:val="both"/>
        <w:rPr>
          <w:rFonts w:ascii="Bookman Old Style" w:hAnsi="Bookman Old Style"/>
          <w:i/>
          <w:color w:val="000000" w:themeColor="text1"/>
          <w:sz w:val="22"/>
          <w:szCs w:val="22"/>
          <w:lang w:val="es-ES"/>
        </w:rPr>
      </w:pPr>
    </w:p>
    <w:p w14:paraId="546872F2"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i/>
          <w:color w:val="000000" w:themeColor="text1"/>
          <w:sz w:val="22"/>
          <w:szCs w:val="22"/>
          <w:lang w:val="es-ES"/>
        </w:rPr>
        <w:t>Comisión Primera.</w:t>
      </w:r>
    </w:p>
    <w:p w14:paraId="460E94B7" w14:textId="77777777" w:rsidR="0027337E" w:rsidRPr="004C68F2" w:rsidRDefault="0027337E" w:rsidP="004C68F2">
      <w:pPr>
        <w:ind w:left="851" w:right="900"/>
        <w:jc w:val="both"/>
        <w:rPr>
          <w:rFonts w:ascii="Bookman Old Style" w:hAnsi="Bookman Old Style"/>
          <w:color w:val="000000" w:themeColor="text1"/>
          <w:sz w:val="22"/>
          <w:szCs w:val="22"/>
          <w:lang w:val="es-ES"/>
        </w:rPr>
      </w:pPr>
      <w:r w:rsidRPr="004C68F2">
        <w:rPr>
          <w:rFonts w:ascii="Bookman Old Style" w:hAnsi="Bookman Old Style"/>
          <w:i/>
          <w:color w:val="000000" w:themeColor="text1"/>
          <w:sz w:val="22"/>
          <w:szCs w:val="22"/>
          <w:lang w:val="es-ES"/>
        </w:rPr>
        <w:t xml:space="preserve">Compuesta por diecinueve (19) miembros en el Senado y treinta y cinco (35) en la Cámara de Representantes, conocerá de: reforma constitucional; </w:t>
      </w:r>
      <w:r w:rsidRPr="00616F28">
        <w:rPr>
          <w:rFonts w:ascii="Bookman Old Style" w:hAnsi="Bookman Old Style"/>
          <w:i/>
          <w:color w:val="000000" w:themeColor="text1"/>
          <w:sz w:val="22"/>
          <w:szCs w:val="22"/>
          <w:lang w:val="es-ES"/>
        </w:rPr>
        <w:t>leyes estatutarias</w:t>
      </w:r>
      <w:r w:rsidRPr="004C68F2">
        <w:rPr>
          <w:rFonts w:ascii="Bookman Old Style" w:hAnsi="Bookman Old Style"/>
          <w:i/>
          <w:color w:val="000000" w:themeColor="text1"/>
          <w:sz w:val="22"/>
          <w:szCs w:val="22"/>
          <w:lang w:val="es-ES"/>
        </w:rPr>
        <w:t xml:space="preserve">; organización territorial; reglamentos de los organismos de control; </w:t>
      </w:r>
      <w:r w:rsidRPr="004C68F2">
        <w:rPr>
          <w:rFonts w:ascii="Bookman Old Style" w:hAnsi="Bookman Old Style"/>
          <w:i/>
          <w:color w:val="000000" w:themeColor="text1"/>
          <w:sz w:val="22"/>
          <w:szCs w:val="22"/>
          <w:u w:val="single"/>
          <w:lang w:val="es-ES"/>
        </w:rPr>
        <w:t>normas generales sobre contratación administrativa; notariado y registro</w:t>
      </w:r>
      <w:r w:rsidRPr="004C68F2">
        <w:rPr>
          <w:rFonts w:ascii="Bookman Old Style" w:hAnsi="Bookman Old Style"/>
          <w:i/>
          <w:color w:val="000000" w:themeColor="text1"/>
          <w:sz w:val="22"/>
          <w:szCs w:val="22"/>
          <w:lang w:val="es-ES"/>
        </w:rPr>
        <w:t xml:space="preserve">; estructura y organización de la administración nacional central; </w:t>
      </w:r>
      <w:r w:rsidRPr="004C68F2">
        <w:rPr>
          <w:rFonts w:ascii="Bookman Old Style" w:hAnsi="Bookman Old Style"/>
          <w:i/>
          <w:color w:val="000000" w:themeColor="text1"/>
          <w:sz w:val="22"/>
          <w:szCs w:val="22"/>
          <w:u w:val="single"/>
          <w:lang w:val="es-ES"/>
        </w:rPr>
        <w:t xml:space="preserve">de los derechos, </w:t>
      </w:r>
      <w:r w:rsidRPr="004C68F2">
        <w:rPr>
          <w:rFonts w:ascii="Bookman Old Style" w:hAnsi="Bookman Old Style"/>
          <w:i/>
          <w:color w:val="000000" w:themeColor="text1"/>
          <w:sz w:val="22"/>
          <w:szCs w:val="22"/>
          <w:lang w:val="es-ES"/>
        </w:rPr>
        <w:t xml:space="preserve">las garantías y los deberes; </w:t>
      </w:r>
      <w:r w:rsidRPr="004C68F2">
        <w:rPr>
          <w:rFonts w:ascii="Bookman Old Style" w:hAnsi="Bookman Old Style"/>
          <w:i/>
          <w:color w:val="000000" w:themeColor="text1"/>
          <w:sz w:val="22"/>
          <w:szCs w:val="22"/>
          <w:u w:val="single"/>
          <w:lang w:val="es-ES"/>
        </w:rPr>
        <w:t>rama legislativa; estrategias y políticas para la paz</w:t>
      </w:r>
      <w:r w:rsidRPr="004C68F2">
        <w:rPr>
          <w:rFonts w:ascii="Bookman Old Style" w:hAnsi="Bookman Old Style"/>
          <w:i/>
          <w:color w:val="000000" w:themeColor="text1"/>
          <w:sz w:val="22"/>
          <w:szCs w:val="22"/>
          <w:lang w:val="es-ES"/>
        </w:rPr>
        <w:t xml:space="preserve">; propiedad intelectual; variación de la residencia de los altos poderes nacionales; asuntos étnicos. </w:t>
      </w:r>
      <w:r w:rsidRPr="004C68F2">
        <w:rPr>
          <w:rFonts w:ascii="Bookman Old Style" w:hAnsi="Bookman Old Style"/>
          <w:color w:val="000000" w:themeColor="text1"/>
          <w:sz w:val="22"/>
          <w:szCs w:val="22"/>
          <w:lang w:val="es-ES"/>
        </w:rPr>
        <w:t xml:space="preserve">(Subrayado por fuera del texto). </w:t>
      </w:r>
    </w:p>
    <w:p w14:paraId="386C126A" w14:textId="77777777" w:rsidR="0027337E" w:rsidRPr="004C68F2" w:rsidRDefault="0027337E" w:rsidP="004C68F2">
      <w:pPr>
        <w:jc w:val="both"/>
        <w:rPr>
          <w:rFonts w:ascii="Bookman Old Style" w:hAnsi="Bookman Old Style"/>
          <w:i/>
          <w:color w:val="000000" w:themeColor="text1"/>
          <w:sz w:val="22"/>
          <w:szCs w:val="22"/>
          <w:lang w:val="es-ES"/>
        </w:rPr>
      </w:pPr>
    </w:p>
    <w:p w14:paraId="250B2F7F" w14:textId="77777777" w:rsidR="0027337E" w:rsidRPr="004C68F2" w:rsidRDefault="0027337E" w:rsidP="004C68F2">
      <w:pPr>
        <w:jc w:val="both"/>
        <w:rPr>
          <w:rFonts w:ascii="Bookman Old Style" w:hAnsi="Bookman Old Style"/>
          <w:b/>
          <w:color w:val="000000" w:themeColor="text1"/>
          <w:sz w:val="22"/>
          <w:szCs w:val="22"/>
          <w:lang w:val="es-ES"/>
        </w:rPr>
      </w:pPr>
      <w:r w:rsidRPr="004C68F2">
        <w:rPr>
          <w:rFonts w:ascii="Bookman Old Style" w:hAnsi="Bookman Old Style"/>
          <w:b/>
          <w:color w:val="000000" w:themeColor="text1"/>
          <w:sz w:val="22"/>
          <w:szCs w:val="22"/>
          <w:lang w:val="es-ES"/>
        </w:rPr>
        <w:t>LEY 5 DE 1992.</w:t>
      </w:r>
      <w:r w:rsidRPr="004C68F2">
        <w:rPr>
          <w:rFonts w:ascii="Bookman Old Style" w:hAnsi="Bookman Old Style"/>
          <w:sz w:val="22"/>
          <w:szCs w:val="22"/>
          <w:lang w:val="es-ES"/>
        </w:rPr>
        <w:t xml:space="preserve"> </w:t>
      </w:r>
      <w:r w:rsidRPr="004C68F2">
        <w:rPr>
          <w:rFonts w:ascii="Bookman Old Style" w:hAnsi="Bookman Old Style"/>
          <w:b/>
          <w:color w:val="000000" w:themeColor="text1"/>
          <w:sz w:val="22"/>
          <w:szCs w:val="22"/>
          <w:lang w:val="es-ES"/>
        </w:rPr>
        <w:t>POR LA CUAL SE EXPIDE EL REGLAMENTO DEL CONGRESO; EL SENADO Y LA CÁMARA DE REPRESENTANTES</w:t>
      </w:r>
    </w:p>
    <w:p w14:paraId="3929DD73" w14:textId="77777777" w:rsidR="0027337E" w:rsidRPr="004C68F2" w:rsidRDefault="0027337E" w:rsidP="004C68F2">
      <w:pPr>
        <w:jc w:val="both"/>
        <w:rPr>
          <w:rFonts w:ascii="Bookman Old Style" w:hAnsi="Bookman Old Style"/>
          <w:b/>
          <w:color w:val="000000" w:themeColor="text1"/>
          <w:sz w:val="22"/>
          <w:szCs w:val="22"/>
          <w:lang w:val="es-ES"/>
        </w:rPr>
      </w:pPr>
    </w:p>
    <w:p w14:paraId="1621551A"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b/>
          <w:i/>
          <w:color w:val="000000" w:themeColor="text1"/>
          <w:sz w:val="22"/>
          <w:szCs w:val="22"/>
          <w:lang w:val="es-ES"/>
        </w:rPr>
        <w:t>ARTÍCULO  6°.</w:t>
      </w:r>
      <w:r w:rsidRPr="004C68F2">
        <w:rPr>
          <w:rFonts w:ascii="Bookman Old Style" w:hAnsi="Bookman Old Style"/>
          <w:i/>
          <w:color w:val="000000" w:themeColor="text1"/>
          <w:sz w:val="22"/>
          <w:szCs w:val="22"/>
          <w:lang w:val="es-ES"/>
        </w:rPr>
        <w:t> Clases de funciones del Congreso. El Congreso de la República cumple:</w:t>
      </w:r>
    </w:p>
    <w:p w14:paraId="17CA957F" w14:textId="77777777" w:rsidR="0027337E" w:rsidRPr="004C68F2" w:rsidRDefault="0027337E" w:rsidP="004C68F2">
      <w:pPr>
        <w:ind w:left="851" w:right="900"/>
        <w:jc w:val="both"/>
        <w:rPr>
          <w:rFonts w:ascii="Bookman Old Style" w:hAnsi="Bookman Old Style"/>
          <w:i/>
          <w:color w:val="000000" w:themeColor="text1"/>
          <w:sz w:val="22"/>
          <w:szCs w:val="22"/>
          <w:lang w:val="es-ES"/>
        </w:rPr>
      </w:pPr>
      <w:r w:rsidRPr="004C68F2">
        <w:rPr>
          <w:rFonts w:ascii="Bookman Old Style" w:hAnsi="Bookman Old Style"/>
          <w:i/>
          <w:color w:val="000000" w:themeColor="text1"/>
          <w:sz w:val="22"/>
          <w:szCs w:val="22"/>
          <w:lang w:val="es-ES"/>
        </w:rPr>
        <w:t>(…)</w:t>
      </w:r>
    </w:p>
    <w:p w14:paraId="181DBAF0" w14:textId="5BE3641E" w:rsidR="0027337E" w:rsidRPr="00EC7922" w:rsidRDefault="0027337E" w:rsidP="00EC7922">
      <w:pPr>
        <w:ind w:left="851" w:right="900"/>
        <w:jc w:val="both"/>
        <w:rPr>
          <w:rFonts w:ascii="Bookman Old Style" w:hAnsi="Bookman Old Style"/>
          <w:i/>
          <w:color w:val="000000" w:themeColor="text1"/>
          <w:sz w:val="22"/>
          <w:szCs w:val="22"/>
          <w:lang w:val="es-ES"/>
        </w:rPr>
      </w:pPr>
      <w:r w:rsidRPr="004C68F2">
        <w:rPr>
          <w:rFonts w:ascii="Bookman Old Style" w:hAnsi="Bookman Old Style"/>
          <w:i/>
          <w:color w:val="000000" w:themeColor="text1"/>
          <w:sz w:val="22"/>
          <w:szCs w:val="22"/>
          <w:lang w:val="es-ES"/>
        </w:rPr>
        <w:t>2. Función legislativa, para elaborar, interpretar, reformar y derogar las leyes y códigos en todos los ramos de la legislación.</w:t>
      </w:r>
    </w:p>
    <w:p w14:paraId="272871B8" w14:textId="77777777" w:rsidR="00EC7922" w:rsidRPr="004C68F2" w:rsidRDefault="00EC7922" w:rsidP="00EC7922">
      <w:pPr>
        <w:jc w:val="both"/>
        <w:rPr>
          <w:rFonts w:ascii="Bookman Old Style" w:hAnsi="Bookman Old Style"/>
          <w:color w:val="000000" w:themeColor="text1"/>
          <w:sz w:val="22"/>
          <w:szCs w:val="22"/>
        </w:rPr>
      </w:pPr>
    </w:p>
    <w:p w14:paraId="2E932BD2" w14:textId="77777777" w:rsidR="002F267D" w:rsidRPr="00E676C9" w:rsidRDefault="002F267D" w:rsidP="002F267D">
      <w:pPr>
        <w:rPr>
          <w:lang w:val="es-ES"/>
        </w:rPr>
      </w:pPr>
    </w:p>
    <w:p w14:paraId="668FD71D" w14:textId="77777777" w:rsidR="0027337E" w:rsidRPr="004C68F2" w:rsidRDefault="0027337E" w:rsidP="004C68F2">
      <w:pPr>
        <w:jc w:val="both"/>
        <w:rPr>
          <w:rFonts w:ascii="Bookman Old Style" w:hAnsi="Bookman Old Style"/>
          <w:color w:val="000000" w:themeColor="text1"/>
          <w:sz w:val="22"/>
          <w:szCs w:val="22"/>
        </w:rPr>
      </w:pPr>
    </w:p>
    <w:p w14:paraId="373C72B0" w14:textId="77777777" w:rsidR="0027337E" w:rsidRPr="004C68F2" w:rsidRDefault="0027337E" w:rsidP="00320E29">
      <w:pPr>
        <w:pStyle w:val="Ttulo1"/>
        <w:numPr>
          <w:ilvl w:val="0"/>
          <w:numId w:val="48"/>
        </w:numPr>
        <w:spacing w:before="0"/>
        <w:rPr>
          <w:szCs w:val="22"/>
        </w:rPr>
      </w:pPr>
      <w:bookmarkStart w:id="9" w:name="_Toc48731948"/>
      <w:r w:rsidRPr="004C68F2">
        <w:rPr>
          <w:szCs w:val="22"/>
        </w:rPr>
        <w:t>CONFLICTO DE INTERÉS</w:t>
      </w:r>
      <w:bookmarkEnd w:id="9"/>
    </w:p>
    <w:p w14:paraId="2508AD25" w14:textId="77777777" w:rsidR="0027337E" w:rsidRPr="004C68F2" w:rsidRDefault="0027337E" w:rsidP="004C68F2">
      <w:pPr>
        <w:jc w:val="both"/>
        <w:rPr>
          <w:rFonts w:ascii="Bookman Old Style" w:hAnsi="Bookman Old Style" w:cs="Arial"/>
          <w:sz w:val="22"/>
          <w:szCs w:val="22"/>
        </w:rPr>
      </w:pPr>
    </w:p>
    <w:p w14:paraId="6D516EF7" w14:textId="77777777" w:rsidR="00616F28" w:rsidRPr="007D31A4" w:rsidRDefault="00616F28" w:rsidP="00616F28">
      <w:pPr>
        <w:jc w:val="both"/>
        <w:rPr>
          <w:rFonts w:ascii="Bookman Old Style" w:hAnsi="Bookman Old Style" w:cs="Arial"/>
          <w:bCs/>
          <w:sz w:val="22"/>
          <w:szCs w:val="22"/>
          <w:shd w:val="clear" w:color="auto" w:fill="FFFFFF"/>
        </w:rPr>
      </w:pPr>
      <w:r w:rsidRPr="007D31A4">
        <w:rPr>
          <w:rFonts w:ascii="Bookman Old Style" w:hAnsi="Bookman Old Style" w:cs="Arial"/>
          <w:bCs/>
          <w:sz w:val="22"/>
          <w:szCs w:val="22"/>
          <w:shd w:val="clear" w:color="auto" w:fill="FFFFFF"/>
        </w:rPr>
        <w:t>Dando alcance a lo establecido en el artículo 3 de la Ley 2003 de 2019, “</w:t>
      </w:r>
      <w:r w:rsidRPr="007D31A4">
        <w:rPr>
          <w:rFonts w:ascii="Bookman Old Style" w:hAnsi="Bookman Old Style" w:cs="Arial"/>
          <w:bCs/>
          <w:i/>
          <w:sz w:val="22"/>
          <w:szCs w:val="22"/>
          <w:shd w:val="clear" w:color="auto" w:fill="FFFFFF"/>
        </w:rPr>
        <w:t>Por la cual se modifica parcialmente la Ley 5 de 1992</w:t>
      </w:r>
      <w:r w:rsidRPr="007D31A4">
        <w:rPr>
          <w:rFonts w:ascii="Bookman Old Style" w:hAnsi="Bookman Old Style" w:cs="Arial"/>
          <w:bCs/>
          <w:sz w:val="22"/>
          <w:szCs w:val="22"/>
          <w:shd w:val="clear" w:color="auto" w:fill="FFFFFF"/>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81AFD27" w14:textId="77777777" w:rsidR="00616F28" w:rsidRPr="007D31A4" w:rsidRDefault="00616F28" w:rsidP="00616F28">
      <w:pPr>
        <w:jc w:val="both"/>
        <w:rPr>
          <w:rFonts w:ascii="Bookman Old Style" w:hAnsi="Bookman Old Style" w:cs="Arial"/>
          <w:bCs/>
          <w:sz w:val="22"/>
          <w:szCs w:val="22"/>
          <w:shd w:val="clear" w:color="auto" w:fill="FFFFFF"/>
        </w:rPr>
      </w:pPr>
    </w:p>
    <w:p w14:paraId="6E6EB215" w14:textId="77777777" w:rsidR="00616F28" w:rsidRPr="007D31A4" w:rsidRDefault="00616F28" w:rsidP="00616F28">
      <w:pPr>
        <w:ind w:left="850" w:right="900"/>
        <w:jc w:val="both"/>
        <w:rPr>
          <w:rFonts w:ascii="Bookman Old Style" w:hAnsi="Bookman Old Style" w:cs="Arial"/>
          <w:bCs/>
          <w:i/>
          <w:iCs/>
          <w:sz w:val="22"/>
          <w:szCs w:val="22"/>
          <w:shd w:val="clear" w:color="auto" w:fill="FFFFFF"/>
        </w:rPr>
      </w:pPr>
      <w:r w:rsidRPr="007D31A4">
        <w:rPr>
          <w:rFonts w:ascii="Bookman Old Style" w:hAnsi="Bookman Old Style" w:cs="Arial"/>
          <w:bCs/>
          <w:i/>
          <w:iCs/>
          <w:sz w:val="22"/>
          <w:szCs w:val="22"/>
          <w:shd w:val="clear" w:color="auto" w:fill="FFFFFF"/>
        </w:rPr>
        <w:t>“</w:t>
      </w:r>
      <w:r w:rsidRPr="007D31A4">
        <w:rPr>
          <w:rFonts w:ascii="Bookman Old Style" w:hAnsi="Bookman Old Style" w:cs="Arial"/>
          <w:b/>
          <w:bCs/>
          <w:i/>
          <w:iCs/>
          <w:sz w:val="22"/>
          <w:szCs w:val="22"/>
          <w:shd w:val="clear" w:color="auto" w:fill="FFFFFF"/>
        </w:rPr>
        <w:t>Artículo 286. Régimen de conflicto de interés de los congresistas.</w:t>
      </w:r>
      <w:r w:rsidRPr="007D31A4">
        <w:rPr>
          <w:rFonts w:ascii="Bookman Old Style" w:hAnsi="Bookman Old Style" w:cs="Arial"/>
          <w:bCs/>
          <w:i/>
          <w:iCs/>
          <w:sz w:val="22"/>
          <w:szCs w:val="22"/>
          <w:shd w:val="clear" w:color="auto" w:fill="FFFFFF"/>
        </w:rPr>
        <w:t xml:space="preserve"> Todos los congresistas deberán declarar los conflictos De intereses que pudieran surgir en ejercicio de sus funciones.</w:t>
      </w:r>
    </w:p>
    <w:p w14:paraId="27B2C591" w14:textId="77777777" w:rsidR="00616F28" w:rsidRPr="007D31A4" w:rsidRDefault="00616F28" w:rsidP="00616F28">
      <w:pPr>
        <w:ind w:left="850" w:right="900"/>
        <w:jc w:val="both"/>
        <w:rPr>
          <w:rFonts w:ascii="Bookman Old Style" w:hAnsi="Bookman Old Style" w:cs="Arial"/>
          <w:bCs/>
          <w:i/>
          <w:iCs/>
          <w:sz w:val="22"/>
          <w:szCs w:val="22"/>
          <w:shd w:val="clear" w:color="auto" w:fill="FFFFFF"/>
        </w:rPr>
      </w:pPr>
      <w:r w:rsidRPr="007D31A4">
        <w:rPr>
          <w:rFonts w:ascii="Bookman Old Style" w:hAnsi="Bookman Old Style" w:cs="Arial"/>
          <w:bCs/>
          <w:i/>
          <w:iCs/>
          <w:sz w:val="22"/>
          <w:szCs w:val="22"/>
          <w:shd w:val="clear" w:color="auto" w:fill="FFFFFF"/>
        </w:rPr>
        <w:t>Se entiende como conflicto de interés una situación donde la discusión o votación de un proyecto de ley o acto legislativo o artículo, pueda resultar en un beneficio particular, actual y directo a favor del congresista. </w:t>
      </w:r>
    </w:p>
    <w:p w14:paraId="105221EC" w14:textId="77777777" w:rsidR="00616F28" w:rsidRPr="007D31A4" w:rsidRDefault="00616F28" w:rsidP="00616F28">
      <w:pPr>
        <w:numPr>
          <w:ilvl w:val="0"/>
          <w:numId w:val="2"/>
        </w:numPr>
        <w:spacing w:after="160"/>
        <w:ind w:left="850" w:right="900" w:firstLine="0"/>
        <w:jc w:val="both"/>
        <w:rPr>
          <w:rFonts w:ascii="Bookman Old Style" w:hAnsi="Bookman Old Style" w:cs="Arial"/>
          <w:bCs/>
          <w:i/>
          <w:iCs/>
          <w:sz w:val="22"/>
          <w:szCs w:val="22"/>
          <w:shd w:val="clear" w:color="auto" w:fill="FFFFFF"/>
        </w:rPr>
      </w:pPr>
      <w:r w:rsidRPr="007D31A4">
        <w:rPr>
          <w:rFonts w:ascii="Bookman Old Style" w:hAnsi="Bookman Old Style" w:cs="Arial"/>
          <w:bCs/>
          <w:i/>
          <w:iCs/>
          <w:sz w:val="22"/>
          <w:szCs w:val="22"/>
          <w:shd w:val="clear" w:color="auto" w:fill="FFFFFF"/>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9EC10D5" w14:textId="77777777" w:rsidR="00616F28" w:rsidRPr="007D31A4" w:rsidRDefault="00616F28" w:rsidP="00616F28">
      <w:pPr>
        <w:numPr>
          <w:ilvl w:val="0"/>
          <w:numId w:val="2"/>
        </w:numPr>
        <w:spacing w:after="160"/>
        <w:ind w:left="850" w:right="900" w:firstLine="0"/>
        <w:jc w:val="both"/>
        <w:rPr>
          <w:rFonts w:ascii="Bookman Old Style" w:hAnsi="Bookman Old Style" w:cs="Arial"/>
          <w:bCs/>
          <w:i/>
          <w:iCs/>
          <w:sz w:val="22"/>
          <w:szCs w:val="22"/>
          <w:shd w:val="clear" w:color="auto" w:fill="FFFFFF"/>
        </w:rPr>
      </w:pPr>
      <w:r w:rsidRPr="007D31A4">
        <w:rPr>
          <w:rFonts w:ascii="Bookman Old Style" w:hAnsi="Bookman Old Style" w:cs="Arial"/>
          <w:bCs/>
          <w:i/>
          <w:iCs/>
          <w:sz w:val="22"/>
          <w:szCs w:val="22"/>
          <w:shd w:val="clear" w:color="auto" w:fill="FFFFFF"/>
        </w:rPr>
        <w:t>Beneficio actual: aquel que efectivamente se configura en las circunstancias presentes y existentes al momento en el que el congresista participa de la decisión. </w:t>
      </w:r>
    </w:p>
    <w:p w14:paraId="304E9AC4" w14:textId="77777777" w:rsidR="00616F28" w:rsidRPr="007D31A4" w:rsidRDefault="00616F28" w:rsidP="00616F28">
      <w:pPr>
        <w:numPr>
          <w:ilvl w:val="0"/>
          <w:numId w:val="2"/>
        </w:numPr>
        <w:spacing w:after="160"/>
        <w:ind w:left="850" w:right="900" w:firstLine="0"/>
        <w:jc w:val="both"/>
        <w:rPr>
          <w:rFonts w:ascii="Bookman Old Style" w:hAnsi="Bookman Old Style" w:cs="Arial"/>
          <w:bCs/>
          <w:i/>
          <w:iCs/>
          <w:sz w:val="22"/>
          <w:szCs w:val="22"/>
          <w:shd w:val="clear" w:color="auto" w:fill="FFFFFF"/>
        </w:rPr>
      </w:pPr>
      <w:r w:rsidRPr="007D31A4">
        <w:rPr>
          <w:rFonts w:ascii="Bookman Old Style" w:hAnsi="Bookman Old Style" w:cs="Arial"/>
          <w:bCs/>
          <w:i/>
          <w:iCs/>
          <w:sz w:val="22"/>
          <w:szCs w:val="22"/>
          <w:shd w:val="clear" w:color="auto" w:fill="FFFFFF"/>
        </w:rPr>
        <w:t>Beneficio directo: aquel que se produzca de forma específica respecto del congresista, de su cónyuge, compañero o compañera permanente, o parientes dentro del segundo grado de consanguinidad, segundo de afinidad o primero civil.</w:t>
      </w:r>
    </w:p>
    <w:p w14:paraId="52940D72" w14:textId="77777777" w:rsidR="00616F28" w:rsidRPr="007D31A4" w:rsidRDefault="00616F28" w:rsidP="00616F28">
      <w:pPr>
        <w:ind w:left="850" w:right="474"/>
        <w:jc w:val="both"/>
        <w:rPr>
          <w:rFonts w:ascii="Bookman Old Style" w:hAnsi="Bookman Old Style" w:cs="Arial"/>
          <w:bCs/>
          <w:i/>
          <w:iCs/>
          <w:sz w:val="22"/>
          <w:szCs w:val="22"/>
          <w:shd w:val="clear" w:color="auto" w:fill="FFFFFF"/>
        </w:rPr>
      </w:pPr>
      <w:r w:rsidRPr="007D31A4">
        <w:rPr>
          <w:rFonts w:ascii="Bookman Old Style" w:hAnsi="Bookman Old Style" w:cs="Arial"/>
          <w:bCs/>
          <w:i/>
          <w:iCs/>
          <w:sz w:val="22"/>
          <w:szCs w:val="22"/>
          <w:shd w:val="clear" w:color="auto" w:fill="FFFFFF"/>
        </w:rPr>
        <w:t xml:space="preserve">                                                                                                          (…)”</w:t>
      </w:r>
    </w:p>
    <w:p w14:paraId="14D4A9C1" w14:textId="77777777" w:rsidR="00616F28" w:rsidRPr="007D31A4" w:rsidRDefault="00616F28" w:rsidP="00616F28">
      <w:pPr>
        <w:ind w:left="284" w:right="474"/>
        <w:jc w:val="both"/>
        <w:rPr>
          <w:rFonts w:ascii="Bookman Old Style" w:hAnsi="Bookman Old Style" w:cs="Arial"/>
          <w:bCs/>
          <w:i/>
          <w:iCs/>
          <w:sz w:val="22"/>
          <w:szCs w:val="22"/>
          <w:shd w:val="clear" w:color="auto" w:fill="FFFFFF"/>
        </w:rPr>
      </w:pPr>
    </w:p>
    <w:p w14:paraId="3D8114B3" w14:textId="77777777" w:rsidR="00616F28" w:rsidRPr="007D31A4" w:rsidRDefault="00616F28" w:rsidP="00616F28">
      <w:pPr>
        <w:jc w:val="both"/>
        <w:rPr>
          <w:rFonts w:ascii="Bookman Old Style" w:hAnsi="Bookman Old Style" w:cs="Arial"/>
          <w:bCs/>
          <w:sz w:val="22"/>
          <w:szCs w:val="22"/>
          <w:shd w:val="clear" w:color="auto" w:fill="FFFFFF"/>
        </w:rPr>
      </w:pPr>
      <w:r w:rsidRPr="007D31A4">
        <w:rPr>
          <w:rFonts w:ascii="Bookman Old Style" w:hAnsi="Bookman Old Style" w:cs="Arial"/>
          <w:bCs/>
          <w:sz w:val="22"/>
          <w:szCs w:val="22"/>
          <w:shd w:val="clear" w:color="auto" w:fill="FFFFFF"/>
        </w:rPr>
        <w:t>Sobre este asunto la Sala Plena Contenciosa Administrativa del Honorable Consejo de Estado en su sentencia 02830 del 16 de julio de 2019, M.P. Carlos Enrique Moreno Rubio, señaló que:</w:t>
      </w:r>
    </w:p>
    <w:p w14:paraId="1C03EABA" w14:textId="77777777" w:rsidR="00616F28" w:rsidRPr="007D31A4" w:rsidRDefault="00616F28" w:rsidP="00616F28">
      <w:pPr>
        <w:jc w:val="both"/>
        <w:rPr>
          <w:rFonts w:ascii="Bookman Old Style" w:hAnsi="Bookman Old Style" w:cs="Arial"/>
          <w:bCs/>
          <w:sz w:val="22"/>
          <w:szCs w:val="22"/>
          <w:shd w:val="clear" w:color="auto" w:fill="FFFFFF"/>
        </w:rPr>
      </w:pPr>
    </w:p>
    <w:p w14:paraId="5D5090EC" w14:textId="77777777" w:rsidR="00616F28" w:rsidRPr="007D31A4" w:rsidRDefault="00616F28" w:rsidP="00616F28">
      <w:pPr>
        <w:ind w:left="850" w:right="900"/>
        <w:jc w:val="both"/>
        <w:rPr>
          <w:rFonts w:ascii="Bookman Old Style" w:hAnsi="Bookman Old Style" w:cs="Arial"/>
          <w:bCs/>
          <w:i/>
          <w:iCs/>
          <w:sz w:val="22"/>
          <w:szCs w:val="22"/>
          <w:shd w:val="clear" w:color="auto" w:fill="FFFFFF"/>
        </w:rPr>
      </w:pPr>
      <w:r w:rsidRPr="007D31A4">
        <w:rPr>
          <w:rFonts w:ascii="Bookman Old Style" w:hAnsi="Bookman Old Style" w:cs="Arial"/>
          <w:bCs/>
          <w:i/>
          <w:iCs/>
          <w:sz w:val="22"/>
          <w:szCs w:val="22"/>
          <w:shd w:val="clear" w:color="auto" w:fill="FFFFFF"/>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w:t>
      </w:r>
      <w:r w:rsidRPr="007D31A4">
        <w:rPr>
          <w:rFonts w:ascii="Bookman Old Style" w:hAnsi="Bookman Old Style" w:cs="Arial"/>
          <w:bCs/>
          <w:i/>
          <w:iCs/>
          <w:sz w:val="22"/>
          <w:szCs w:val="22"/>
          <w:shd w:val="clear" w:color="auto" w:fill="FFFFFF"/>
        </w:rPr>
        <w:lastRenderedPageBreak/>
        <w:t>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76D4A624" w14:textId="77777777" w:rsidR="00616F28" w:rsidRPr="007D31A4" w:rsidRDefault="00616F28" w:rsidP="00616F28">
      <w:pPr>
        <w:jc w:val="both"/>
        <w:rPr>
          <w:rFonts w:ascii="Bookman Old Style" w:hAnsi="Bookman Old Style" w:cs="Arial"/>
          <w:bCs/>
          <w:sz w:val="22"/>
          <w:szCs w:val="22"/>
          <w:shd w:val="clear" w:color="auto" w:fill="FFFFFF"/>
        </w:rPr>
      </w:pPr>
    </w:p>
    <w:p w14:paraId="56F6AF4F"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hAnsi="Bookman Old Style" w:cs="Arial"/>
          <w:bCs/>
          <w:sz w:val="22"/>
          <w:szCs w:val="22"/>
          <w:shd w:val="clear" w:color="auto" w:fill="FFFFFF"/>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vinculadas a la </w:t>
      </w:r>
      <w:r w:rsidRPr="007D31A4">
        <w:rPr>
          <w:rFonts w:ascii="Bookman Old Style" w:hAnsi="Bookman Old Style"/>
          <w:bCs/>
          <w:color w:val="000000" w:themeColor="text1"/>
          <w:sz w:val="22"/>
          <w:szCs w:val="22"/>
        </w:rPr>
        <w:t>producción, comercialización, reproducción, exportación, importación, cría, entrenamiento o sacrificio de ganadería destinada a actividades de corridas de toros, novilladas, becerradas y tientas.</w:t>
      </w:r>
    </w:p>
    <w:p w14:paraId="50B049D5" w14:textId="77777777" w:rsidR="00616F28" w:rsidRPr="007D31A4" w:rsidRDefault="00616F28" w:rsidP="00616F28">
      <w:pPr>
        <w:jc w:val="both"/>
        <w:rPr>
          <w:rFonts w:ascii="Bookman Old Style" w:eastAsia="Bookman Old Style" w:hAnsi="Bookman Old Style" w:cs="Bookman Old Style"/>
          <w:color w:val="000000"/>
          <w:sz w:val="22"/>
          <w:szCs w:val="22"/>
        </w:rPr>
      </w:pPr>
      <w:bookmarkStart w:id="10" w:name="30j0zll" w:colFirst="0" w:colLast="0"/>
      <w:bookmarkEnd w:id="10"/>
    </w:p>
    <w:p w14:paraId="160D4BF2" w14:textId="77777777" w:rsidR="00616F28" w:rsidRPr="007D31A4" w:rsidRDefault="00616F28" w:rsidP="00616F28">
      <w:pPr>
        <w:jc w:val="both"/>
        <w:rPr>
          <w:rFonts w:ascii="Bookman Old Style" w:hAnsi="Bookman Old Style"/>
          <w:bCs/>
          <w:color w:val="000000" w:themeColor="text1"/>
          <w:sz w:val="22"/>
          <w:szCs w:val="22"/>
        </w:rPr>
      </w:pPr>
      <w:r w:rsidRPr="007D31A4">
        <w:rPr>
          <w:rFonts w:ascii="Bookman Old Style" w:eastAsia="Bookman Old Style" w:hAnsi="Bookman Old Style" w:cs="Bookman Old Style"/>
          <w:color w:val="000000"/>
          <w:sz w:val="22"/>
          <w:szCs w:val="22"/>
        </w:rPr>
        <w:t xml:space="preserve">También incurrirán en conflicto de interés quienes pertenezcan a gremios relacionados con las actividades de </w:t>
      </w:r>
      <w:r w:rsidRPr="007D31A4">
        <w:rPr>
          <w:rFonts w:ascii="Bookman Old Style" w:hAnsi="Bookman Old Style"/>
          <w:bCs/>
          <w:color w:val="000000" w:themeColor="text1"/>
          <w:sz w:val="22"/>
          <w:szCs w:val="22"/>
        </w:rPr>
        <w:t>corridas de toros, novilladas, becerradas y tientas y quienes promuevan, desarrollen o financien dichas actividades.</w:t>
      </w:r>
    </w:p>
    <w:p w14:paraId="1727350B" w14:textId="77777777" w:rsidR="00616F28" w:rsidRPr="007D31A4" w:rsidRDefault="00616F28" w:rsidP="00616F28">
      <w:pPr>
        <w:jc w:val="both"/>
        <w:rPr>
          <w:rFonts w:ascii="Bookman Old Style" w:hAnsi="Bookman Old Style"/>
          <w:bCs/>
          <w:color w:val="000000" w:themeColor="text1"/>
          <w:sz w:val="22"/>
          <w:szCs w:val="22"/>
        </w:rPr>
      </w:pPr>
    </w:p>
    <w:p w14:paraId="562AAE54" w14:textId="77777777" w:rsidR="00616F28" w:rsidRPr="007D31A4" w:rsidRDefault="00616F28" w:rsidP="00616F28">
      <w:pPr>
        <w:jc w:val="both"/>
        <w:rPr>
          <w:rFonts w:ascii="Bookman Old Style" w:hAnsi="Bookman Old Style" w:cs="Arial"/>
          <w:bCs/>
          <w:sz w:val="22"/>
          <w:szCs w:val="22"/>
          <w:shd w:val="clear" w:color="auto" w:fill="FFFFFF"/>
        </w:rPr>
      </w:pPr>
      <w:r w:rsidRPr="007D31A4">
        <w:rPr>
          <w:rFonts w:ascii="Bookman Old Style" w:hAnsi="Bookman Old Style" w:cs="Arial"/>
          <w:bCs/>
          <w:sz w:val="22"/>
          <w:szCs w:val="22"/>
          <w:shd w:val="clear" w:color="auto" w:fill="FFFFFF"/>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3E6EA35C" w14:textId="77777777" w:rsidR="00616F28" w:rsidRPr="007D31A4" w:rsidRDefault="00616F28" w:rsidP="00616F28">
      <w:pPr>
        <w:jc w:val="both"/>
        <w:rPr>
          <w:rFonts w:ascii="Bookman Old Style" w:hAnsi="Bookman Old Style"/>
          <w:bCs/>
          <w:color w:val="000000" w:themeColor="text1"/>
          <w:sz w:val="22"/>
          <w:szCs w:val="22"/>
        </w:rPr>
      </w:pPr>
    </w:p>
    <w:p w14:paraId="3F9E074B" w14:textId="77777777" w:rsidR="0027337E" w:rsidRPr="004C68F2" w:rsidRDefault="0027337E" w:rsidP="004C68F2">
      <w:pPr>
        <w:jc w:val="both"/>
        <w:rPr>
          <w:rFonts w:ascii="Bookman Old Style" w:hAnsi="Bookman Old Style"/>
          <w:color w:val="000000" w:themeColor="text1"/>
          <w:sz w:val="22"/>
          <w:szCs w:val="22"/>
        </w:rPr>
      </w:pPr>
    </w:p>
    <w:p w14:paraId="2C8AA742" w14:textId="77777777" w:rsidR="0027337E" w:rsidRPr="004C68F2" w:rsidRDefault="0027337E" w:rsidP="00320E29">
      <w:pPr>
        <w:pStyle w:val="Ttulo1"/>
        <w:numPr>
          <w:ilvl w:val="0"/>
          <w:numId w:val="48"/>
        </w:numPr>
        <w:spacing w:before="0"/>
        <w:rPr>
          <w:szCs w:val="22"/>
        </w:rPr>
      </w:pPr>
      <w:bookmarkStart w:id="11" w:name="_Toc48731949"/>
      <w:r w:rsidRPr="004C68F2">
        <w:rPr>
          <w:szCs w:val="22"/>
        </w:rPr>
        <w:t>PLIEGO DE MODIFICACIONES.</w:t>
      </w:r>
      <w:bookmarkEnd w:id="11"/>
    </w:p>
    <w:p w14:paraId="5E3F4EBD" w14:textId="77777777" w:rsidR="0027337E" w:rsidRPr="004C68F2" w:rsidRDefault="0027337E" w:rsidP="004C68F2">
      <w:pPr>
        <w:jc w:val="both"/>
        <w:rPr>
          <w:rFonts w:ascii="Bookman Old Style" w:hAnsi="Bookman Old Style"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27337E" w:rsidRPr="008A7299" w14:paraId="2D4033EB" w14:textId="77777777" w:rsidTr="008A7299">
        <w:trPr>
          <w:trHeight w:val="544"/>
        </w:trPr>
        <w:tc>
          <w:tcPr>
            <w:tcW w:w="2942" w:type="dxa"/>
            <w:shd w:val="clear" w:color="auto" w:fill="BFBFBF" w:themeFill="background1" w:themeFillShade="BF"/>
            <w:vAlign w:val="center"/>
          </w:tcPr>
          <w:p w14:paraId="3DBC989A" w14:textId="77777777" w:rsidR="0027337E" w:rsidRPr="008A7299" w:rsidRDefault="0027337E" w:rsidP="004C68F2">
            <w:pPr>
              <w:ind w:left="57" w:right="57"/>
              <w:jc w:val="center"/>
              <w:rPr>
                <w:rFonts w:ascii="Bookman Old Style" w:hAnsi="Bookman Old Style"/>
                <w:b/>
                <w:color w:val="000000" w:themeColor="text1"/>
                <w:sz w:val="18"/>
                <w:szCs w:val="18"/>
                <w:u w:val="single"/>
                <w:lang w:val="es-ES"/>
              </w:rPr>
            </w:pPr>
            <w:r w:rsidRPr="008A7299">
              <w:rPr>
                <w:rFonts w:ascii="Bookman Old Style" w:hAnsi="Bookman Old Style"/>
                <w:b/>
                <w:color w:val="000000" w:themeColor="text1"/>
                <w:sz w:val="18"/>
                <w:szCs w:val="18"/>
                <w:u w:val="single"/>
                <w:lang w:val="es-ES"/>
              </w:rPr>
              <w:t>Texto Radicado</w:t>
            </w:r>
          </w:p>
        </w:tc>
        <w:tc>
          <w:tcPr>
            <w:tcW w:w="2943" w:type="dxa"/>
            <w:shd w:val="clear" w:color="auto" w:fill="BFBFBF" w:themeFill="background1" w:themeFillShade="BF"/>
            <w:vAlign w:val="center"/>
          </w:tcPr>
          <w:p w14:paraId="07373406" w14:textId="77777777" w:rsidR="0027337E" w:rsidRPr="008A7299" w:rsidRDefault="0027337E" w:rsidP="004C68F2">
            <w:pPr>
              <w:ind w:left="57" w:right="57"/>
              <w:jc w:val="center"/>
              <w:rPr>
                <w:rFonts w:ascii="Bookman Old Style" w:hAnsi="Bookman Old Style"/>
                <w:b/>
                <w:color w:val="000000" w:themeColor="text1"/>
                <w:sz w:val="18"/>
                <w:szCs w:val="18"/>
                <w:u w:val="single"/>
                <w:lang w:val="es-ES"/>
              </w:rPr>
            </w:pPr>
            <w:r w:rsidRPr="008A7299">
              <w:rPr>
                <w:rFonts w:ascii="Bookman Old Style" w:hAnsi="Bookman Old Style"/>
                <w:b/>
                <w:color w:val="000000" w:themeColor="text1"/>
                <w:sz w:val="18"/>
                <w:szCs w:val="18"/>
                <w:u w:val="single"/>
                <w:lang w:val="es-ES"/>
              </w:rPr>
              <w:t>Texto Propuesto para Primer Debate</w:t>
            </w:r>
          </w:p>
        </w:tc>
        <w:tc>
          <w:tcPr>
            <w:tcW w:w="2943" w:type="dxa"/>
            <w:shd w:val="clear" w:color="auto" w:fill="BFBFBF" w:themeFill="background1" w:themeFillShade="BF"/>
            <w:vAlign w:val="center"/>
          </w:tcPr>
          <w:p w14:paraId="6BD3891E" w14:textId="77777777" w:rsidR="0027337E" w:rsidRPr="008A7299" w:rsidRDefault="0027337E" w:rsidP="004C68F2">
            <w:pPr>
              <w:ind w:left="57" w:right="57"/>
              <w:jc w:val="center"/>
              <w:rPr>
                <w:rFonts w:ascii="Bookman Old Style" w:hAnsi="Bookman Old Style"/>
                <w:b/>
                <w:color w:val="000000" w:themeColor="text1"/>
                <w:sz w:val="18"/>
                <w:szCs w:val="18"/>
                <w:u w:val="single"/>
                <w:lang w:val="es-ES"/>
              </w:rPr>
            </w:pPr>
            <w:r w:rsidRPr="008A7299">
              <w:rPr>
                <w:rFonts w:ascii="Bookman Old Style" w:hAnsi="Bookman Old Style"/>
                <w:b/>
                <w:color w:val="000000" w:themeColor="text1"/>
                <w:sz w:val="18"/>
                <w:szCs w:val="18"/>
                <w:u w:val="single"/>
                <w:lang w:val="es-ES"/>
              </w:rPr>
              <w:t>Justificación</w:t>
            </w:r>
          </w:p>
        </w:tc>
      </w:tr>
      <w:tr w:rsidR="0027337E" w:rsidRPr="008A7299" w14:paraId="7F33C9A3" w14:textId="77777777" w:rsidTr="008A7299">
        <w:tc>
          <w:tcPr>
            <w:tcW w:w="2942" w:type="dxa"/>
          </w:tcPr>
          <w:p w14:paraId="13148721" w14:textId="77777777" w:rsidR="0027337E" w:rsidRPr="008A7299" w:rsidRDefault="0027337E" w:rsidP="008A7299">
            <w:pPr>
              <w:ind w:left="57" w:right="57"/>
              <w:jc w:val="both"/>
              <w:rPr>
                <w:rFonts w:ascii="Bookman Old Style" w:hAnsi="Bookman Old Style" w:cs="Arial"/>
                <w:sz w:val="18"/>
                <w:szCs w:val="18"/>
                <w:lang w:val="es-ES"/>
              </w:rPr>
            </w:pPr>
          </w:p>
          <w:p w14:paraId="5908F66C" w14:textId="41BB3AF8" w:rsidR="0027337E" w:rsidRDefault="00616F28" w:rsidP="00616F28">
            <w:pPr>
              <w:ind w:left="57" w:right="57"/>
              <w:jc w:val="center"/>
              <w:rPr>
                <w:rFonts w:ascii="Bookman Old Style" w:hAnsi="Bookman Old Style"/>
                <w:b/>
                <w:sz w:val="18"/>
                <w:szCs w:val="18"/>
                <w:lang w:val="es-ES"/>
              </w:rPr>
            </w:pPr>
            <w:r>
              <w:rPr>
                <w:rFonts w:ascii="Bookman Old Style" w:hAnsi="Bookman Old Style"/>
                <w:b/>
                <w:sz w:val="18"/>
                <w:szCs w:val="18"/>
                <w:lang w:val="es-ES"/>
              </w:rPr>
              <w:t>Título</w:t>
            </w:r>
          </w:p>
          <w:p w14:paraId="46D20FA4" w14:textId="03AECE5D" w:rsidR="00616F28" w:rsidRDefault="00616F28" w:rsidP="008A7299">
            <w:pPr>
              <w:ind w:left="57" w:right="57"/>
              <w:jc w:val="both"/>
              <w:rPr>
                <w:rFonts w:ascii="Bookman Old Style" w:hAnsi="Bookman Old Style"/>
                <w:sz w:val="18"/>
                <w:szCs w:val="18"/>
                <w:lang w:val="es-ES"/>
              </w:rPr>
            </w:pPr>
          </w:p>
          <w:p w14:paraId="0C5D103D" w14:textId="4D47D0B7" w:rsidR="00616F28" w:rsidRPr="00616F28" w:rsidRDefault="00616F28" w:rsidP="00616F28">
            <w:pPr>
              <w:pBdr>
                <w:top w:val="nil"/>
                <w:left w:val="nil"/>
                <w:bottom w:val="nil"/>
                <w:right w:val="nil"/>
                <w:between w:val="nil"/>
              </w:pBdr>
              <w:jc w:val="center"/>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w:t>
            </w:r>
            <w:r w:rsidRPr="00616F28">
              <w:rPr>
                <w:rFonts w:ascii="Bookman Old Style" w:eastAsia="Bookman Old Style" w:hAnsi="Bookman Old Style" w:cs="Bookman Old Style"/>
                <w:i/>
                <w:color w:val="000000"/>
                <w:sz w:val="18"/>
                <w:szCs w:val="18"/>
              </w:rPr>
              <w:t xml:space="preserve">Por el cual se eliminan las prácticas taurinas en el territorio nacional </w:t>
            </w:r>
          </w:p>
          <w:p w14:paraId="6944B4D2" w14:textId="33941D3F" w:rsidR="00616F28" w:rsidRPr="00616F28" w:rsidRDefault="00616F28" w:rsidP="00616F28">
            <w:pPr>
              <w:pBdr>
                <w:top w:val="nil"/>
                <w:left w:val="nil"/>
                <w:bottom w:val="nil"/>
                <w:right w:val="nil"/>
                <w:between w:val="nil"/>
              </w:pBdr>
              <w:jc w:val="center"/>
              <w:rPr>
                <w:rFonts w:ascii="Bookman Old Style" w:eastAsia="Bookman Old Style" w:hAnsi="Bookman Old Style" w:cs="Bookman Old Style"/>
                <w:i/>
                <w:color w:val="000000"/>
                <w:sz w:val="18"/>
                <w:szCs w:val="18"/>
              </w:rPr>
            </w:pPr>
            <w:proofErr w:type="gramStart"/>
            <w:r w:rsidRPr="00616F28">
              <w:rPr>
                <w:rFonts w:ascii="Bookman Old Style" w:eastAsia="Bookman Old Style" w:hAnsi="Bookman Old Style" w:cs="Bookman Old Style"/>
                <w:i/>
                <w:color w:val="000000"/>
                <w:sz w:val="18"/>
                <w:szCs w:val="18"/>
              </w:rPr>
              <w:t>y</w:t>
            </w:r>
            <w:proofErr w:type="gramEnd"/>
            <w:r w:rsidRPr="00616F28">
              <w:rPr>
                <w:rFonts w:ascii="Bookman Old Style" w:eastAsia="Bookman Old Style" w:hAnsi="Bookman Old Style" w:cs="Bookman Old Style"/>
                <w:i/>
                <w:color w:val="000000"/>
                <w:sz w:val="18"/>
                <w:szCs w:val="18"/>
              </w:rPr>
              <w:t xml:space="preserve"> se dictan otras disposiciones.</w:t>
            </w:r>
            <w:r>
              <w:rPr>
                <w:rFonts w:ascii="Bookman Old Style" w:eastAsia="Bookman Old Style" w:hAnsi="Bookman Old Style" w:cs="Bookman Old Style"/>
                <w:i/>
                <w:color w:val="000000"/>
                <w:sz w:val="18"/>
                <w:szCs w:val="18"/>
              </w:rPr>
              <w:t>”</w:t>
            </w:r>
          </w:p>
          <w:p w14:paraId="642F79B5" w14:textId="77777777" w:rsidR="00616F28" w:rsidRPr="00616F28" w:rsidRDefault="00616F28" w:rsidP="008A7299">
            <w:pPr>
              <w:ind w:left="57" w:right="57"/>
              <w:jc w:val="both"/>
              <w:rPr>
                <w:rFonts w:ascii="Bookman Old Style" w:hAnsi="Bookman Old Style"/>
                <w:sz w:val="18"/>
                <w:szCs w:val="18"/>
              </w:rPr>
            </w:pPr>
          </w:p>
          <w:p w14:paraId="47E27CA7" w14:textId="77777777" w:rsidR="0027337E" w:rsidRPr="008A7299" w:rsidRDefault="0027337E" w:rsidP="008A7299">
            <w:pPr>
              <w:ind w:left="57" w:right="57"/>
              <w:jc w:val="both"/>
              <w:rPr>
                <w:rFonts w:ascii="Bookman Old Style" w:hAnsi="Bookman Old Style"/>
                <w:color w:val="000000" w:themeColor="text1"/>
                <w:sz w:val="18"/>
                <w:szCs w:val="18"/>
                <w:lang w:val="es-ES"/>
              </w:rPr>
            </w:pPr>
          </w:p>
        </w:tc>
        <w:tc>
          <w:tcPr>
            <w:tcW w:w="2943" w:type="dxa"/>
          </w:tcPr>
          <w:p w14:paraId="56D4F054" w14:textId="77777777" w:rsidR="0027337E" w:rsidRPr="008A7299" w:rsidRDefault="0027337E" w:rsidP="008A7299">
            <w:pPr>
              <w:ind w:left="57" w:right="57"/>
              <w:jc w:val="both"/>
              <w:rPr>
                <w:rFonts w:ascii="Bookman Old Style" w:hAnsi="Bookman Old Style" w:cs="Arial"/>
                <w:b/>
                <w:strike/>
                <w:sz w:val="18"/>
                <w:szCs w:val="18"/>
                <w:lang w:val="es-ES"/>
              </w:rPr>
            </w:pPr>
          </w:p>
          <w:p w14:paraId="236A76BB" w14:textId="77777777" w:rsidR="00861C3D" w:rsidRDefault="00861C3D" w:rsidP="00616F28">
            <w:pPr>
              <w:pBdr>
                <w:top w:val="nil"/>
                <w:left w:val="nil"/>
                <w:bottom w:val="nil"/>
                <w:right w:val="nil"/>
                <w:between w:val="nil"/>
              </w:pBdr>
              <w:jc w:val="center"/>
              <w:rPr>
                <w:rFonts w:ascii="Bookman Old Style" w:eastAsia="Bookman Old Style" w:hAnsi="Bookman Old Style" w:cs="Bookman Old Style"/>
                <w:i/>
                <w:color w:val="000000"/>
                <w:sz w:val="18"/>
                <w:szCs w:val="18"/>
              </w:rPr>
            </w:pPr>
          </w:p>
          <w:p w14:paraId="4659A01A" w14:textId="77777777" w:rsidR="00861C3D" w:rsidRDefault="00861C3D" w:rsidP="00616F28">
            <w:pPr>
              <w:pBdr>
                <w:top w:val="nil"/>
                <w:left w:val="nil"/>
                <w:bottom w:val="nil"/>
                <w:right w:val="nil"/>
                <w:between w:val="nil"/>
              </w:pBdr>
              <w:jc w:val="center"/>
              <w:rPr>
                <w:rFonts w:ascii="Bookman Old Style" w:eastAsia="Bookman Old Style" w:hAnsi="Bookman Old Style" w:cs="Bookman Old Style"/>
                <w:i/>
                <w:color w:val="000000"/>
                <w:sz w:val="18"/>
                <w:szCs w:val="18"/>
              </w:rPr>
            </w:pPr>
          </w:p>
          <w:p w14:paraId="3600F6C6" w14:textId="7012FC6B" w:rsidR="00616F28" w:rsidRPr="00616F28" w:rsidRDefault="00616F28" w:rsidP="00616F28">
            <w:pPr>
              <w:pBdr>
                <w:top w:val="nil"/>
                <w:left w:val="nil"/>
                <w:bottom w:val="nil"/>
                <w:right w:val="nil"/>
                <w:between w:val="nil"/>
              </w:pBdr>
              <w:jc w:val="center"/>
              <w:rPr>
                <w:rFonts w:ascii="Bookman Old Style" w:eastAsia="Bookman Old Style" w:hAnsi="Bookman Old Style" w:cs="Bookman Old Style"/>
                <w:i/>
                <w:color w:val="000000"/>
                <w:sz w:val="18"/>
                <w:szCs w:val="18"/>
              </w:rPr>
            </w:pPr>
            <w:r>
              <w:rPr>
                <w:rFonts w:ascii="Bookman Old Style" w:eastAsia="Bookman Old Style" w:hAnsi="Bookman Old Style" w:cs="Bookman Old Style"/>
                <w:i/>
                <w:color w:val="000000"/>
                <w:sz w:val="18"/>
                <w:szCs w:val="18"/>
              </w:rPr>
              <w:t>“</w:t>
            </w:r>
            <w:r w:rsidRPr="00616F28">
              <w:rPr>
                <w:rFonts w:ascii="Bookman Old Style" w:eastAsia="Bookman Old Style" w:hAnsi="Bookman Old Style" w:cs="Bookman Old Style"/>
                <w:i/>
                <w:color w:val="000000"/>
                <w:sz w:val="18"/>
                <w:szCs w:val="18"/>
              </w:rPr>
              <w:t xml:space="preserve">Por </w:t>
            </w:r>
            <w:r w:rsidRPr="00616F28">
              <w:rPr>
                <w:rFonts w:ascii="Bookman Old Style" w:eastAsia="Bookman Old Style" w:hAnsi="Bookman Old Style" w:cs="Bookman Old Style"/>
                <w:b/>
                <w:i/>
                <w:strike/>
                <w:color w:val="000000"/>
                <w:sz w:val="18"/>
                <w:szCs w:val="18"/>
              </w:rPr>
              <w:t>el</w:t>
            </w:r>
            <w:r w:rsidRPr="00861C3D">
              <w:rPr>
                <w:rFonts w:ascii="Bookman Old Style" w:eastAsia="Bookman Old Style" w:hAnsi="Bookman Old Style" w:cs="Bookman Old Style"/>
                <w:b/>
                <w:i/>
                <w:color w:val="000000"/>
                <w:sz w:val="18"/>
                <w:szCs w:val="18"/>
              </w:rPr>
              <w:t xml:space="preserve"> </w:t>
            </w:r>
            <w:r w:rsidR="00861C3D" w:rsidRPr="00861C3D">
              <w:rPr>
                <w:rFonts w:ascii="Bookman Old Style" w:eastAsia="Bookman Old Style" w:hAnsi="Bookman Old Style" w:cs="Bookman Old Style"/>
                <w:b/>
                <w:i/>
                <w:color w:val="000000"/>
                <w:sz w:val="18"/>
                <w:szCs w:val="18"/>
              </w:rPr>
              <w:t xml:space="preserve"> </w:t>
            </w:r>
            <w:r w:rsidRPr="00861C3D">
              <w:rPr>
                <w:rFonts w:ascii="Bookman Old Style" w:eastAsia="Bookman Old Style" w:hAnsi="Bookman Old Style" w:cs="Bookman Old Style"/>
                <w:b/>
                <w:i/>
                <w:color w:val="000000"/>
                <w:sz w:val="18"/>
                <w:szCs w:val="18"/>
                <w:u w:val="single"/>
              </w:rPr>
              <w:t>la</w:t>
            </w:r>
            <w:r>
              <w:rPr>
                <w:rFonts w:ascii="Bookman Old Style" w:eastAsia="Bookman Old Style" w:hAnsi="Bookman Old Style" w:cs="Bookman Old Style"/>
                <w:i/>
                <w:color w:val="000000"/>
                <w:sz w:val="18"/>
                <w:szCs w:val="18"/>
              </w:rPr>
              <w:t xml:space="preserve"> </w:t>
            </w:r>
            <w:r w:rsidRPr="00616F28">
              <w:rPr>
                <w:rFonts w:ascii="Bookman Old Style" w:eastAsia="Bookman Old Style" w:hAnsi="Bookman Old Style" w:cs="Bookman Old Style"/>
                <w:i/>
                <w:color w:val="000000"/>
                <w:sz w:val="18"/>
                <w:szCs w:val="18"/>
              </w:rPr>
              <w:t xml:space="preserve">cual se eliminan las prácticas taurinas en el territorio nacional </w:t>
            </w:r>
          </w:p>
          <w:p w14:paraId="5E07DEBF" w14:textId="77777777" w:rsidR="00616F28" w:rsidRPr="00616F28" w:rsidRDefault="00616F28" w:rsidP="00616F28">
            <w:pPr>
              <w:pBdr>
                <w:top w:val="nil"/>
                <w:left w:val="nil"/>
                <w:bottom w:val="nil"/>
                <w:right w:val="nil"/>
                <w:between w:val="nil"/>
              </w:pBdr>
              <w:jc w:val="center"/>
              <w:rPr>
                <w:rFonts w:ascii="Bookman Old Style" w:eastAsia="Bookman Old Style" w:hAnsi="Bookman Old Style" w:cs="Bookman Old Style"/>
                <w:i/>
                <w:color w:val="000000"/>
                <w:sz w:val="18"/>
                <w:szCs w:val="18"/>
              </w:rPr>
            </w:pPr>
            <w:proofErr w:type="gramStart"/>
            <w:r w:rsidRPr="00616F28">
              <w:rPr>
                <w:rFonts w:ascii="Bookman Old Style" w:eastAsia="Bookman Old Style" w:hAnsi="Bookman Old Style" w:cs="Bookman Old Style"/>
                <w:i/>
                <w:color w:val="000000"/>
                <w:sz w:val="18"/>
                <w:szCs w:val="18"/>
              </w:rPr>
              <w:t>y</w:t>
            </w:r>
            <w:proofErr w:type="gramEnd"/>
            <w:r w:rsidRPr="00616F28">
              <w:rPr>
                <w:rFonts w:ascii="Bookman Old Style" w:eastAsia="Bookman Old Style" w:hAnsi="Bookman Old Style" w:cs="Bookman Old Style"/>
                <w:i/>
                <w:color w:val="000000"/>
                <w:sz w:val="18"/>
                <w:szCs w:val="18"/>
              </w:rPr>
              <w:t xml:space="preserve"> se dictan otras disposiciones.</w:t>
            </w:r>
            <w:r>
              <w:rPr>
                <w:rFonts w:ascii="Bookman Old Style" w:eastAsia="Bookman Old Style" w:hAnsi="Bookman Old Style" w:cs="Bookman Old Style"/>
                <w:i/>
                <w:color w:val="000000"/>
                <w:sz w:val="18"/>
                <w:szCs w:val="18"/>
              </w:rPr>
              <w:t>”</w:t>
            </w:r>
          </w:p>
          <w:p w14:paraId="029C9AA7" w14:textId="77777777" w:rsidR="0027337E" w:rsidRPr="00616F28" w:rsidRDefault="0027337E" w:rsidP="008A7299">
            <w:pPr>
              <w:ind w:left="57" w:right="57"/>
              <w:jc w:val="both"/>
              <w:rPr>
                <w:rFonts w:ascii="Bookman Old Style" w:hAnsi="Bookman Old Style"/>
                <w:b/>
                <w:strike/>
                <w:color w:val="000000" w:themeColor="text1"/>
                <w:sz w:val="18"/>
                <w:szCs w:val="18"/>
              </w:rPr>
            </w:pPr>
          </w:p>
        </w:tc>
        <w:tc>
          <w:tcPr>
            <w:tcW w:w="2943" w:type="dxa"/>
          </w:tcPr>
          <w:p w14:paraId="4CE5B596" w14:textId="77777777" w:rsidR="0027337E" w:rsidRPr="008A7299" w:rsidRDefault="0027337E" w:rsidP="008A7299">
            <w:pPr>
              <w:ind w:right="57"/>
              <w:jc w:val="both"/>
              <w:rPr>
                <w:rFonts w:ascii="Bookman Old Style" w:hAnsi="Bookman Old Style"/>
                <w:color w:val="000000" w:themeColor="text1"/>
                <w:sz w:val="18"/>
                <w:szCs w:val="18"/>
                <w:lang w:val="es-ES"/>
              </w:rPr>
            </w:pPr>
          </w:p>
          <w:p w14:paraId="775FD9D0" w14:textId="77777777" w:rsidR="00861C3D" w:rsidRDefault="00861C3D" w:rsidP="00616F28">
            <w:pPr>
              <w:ind w:right="57"/>
              <w:jc w:val="both"/>
              <w:rPr>
                <w:rFonts w:ascii="Bookman Old Style" w:hAnsi="Bookman Old Style"/>
                <w:color w:val="000000" w:themeColor="text1"/>
                <w:sz w:val="18"/>
                <w:szCs w:val="18"/>
                <w:lang w:val="es-ES"/>
              </w:rPr>
            </w:pPr>
          </w:p>
          <w:p w14:paraId="3333EEA2" w14:textId="77777777" w:rsidR="00861C3D" w:rsidRDefault="00861C3D" w:rsidP="00616F28">
            <w:pPr>
              <w:ind w:right="57"/>
              <w:jc w:val="both"/>
              <w:rPr>
                <w:rFonts w:ascii="Bookman Old Style" w:hAnsi="Bookman Old Style"/>
                <w:color w:val="000000" w:themeColor="text1"/>
                <w:sz w:val="18"/>
                <w:szCs w:val="18"/>
                <w:lang w:val="es-ES"/>
              </w:rPr>
            </w:pPr>
          </w:p>
          <w:p w14:paraId="4CC01007" w14:textId="48A0ECAC" w:rsidR="008A7299" w:rsidRPr="008A7299" w:rsidRDefault="00616F28" w:rsidP="00616F28">
            <w:pPr>
              <w:ind w:right="57"/>
              <w:jc w:val="both"/>
              <w:rPr>
                <w:rFonts w:ascii="Bookman Old Style" w:hAnsi="Bookman Old Style"/>
                <w:color w:val="000000" w:themeColor="text1"/>
                <w:sz w:val="18"/>
                <w:szCs w:val="18"/>
                <w:lang w:val="es-ES"/>
              </w:rPr>
            </w:pPr>
            <w:r>
              <w:rPr>
                <w:rFonts w:ascii="Bookman Old Style" w:hAnsi="Bookman Old Style"/>
                <w:color w:val="000000" w:themeColor="text1"/>
                <w:sz w:val="18"/>
                <w:szCs w:val="18"/>
                <w:lang w:val="es-ES"/>
              </w:rPr>
              <w:t xml:space="preserve">Se realiza el cambio teniendo en cuenta que, en caso de ser aprobado, el proyecto se convertirá en una Ley. </w:t>
            </w:r>
          </w:p>
        </w:tc>
      </w:tr>
    </w:tbl>
    <w:p w14:paraId="00CB5E0A" w14:textId="77777777" w:rsidR="0027337E" w:rsidRPr="004C68F2" w:rsidRDefault="0027337E" w:rsidP="004C68F2">
      <w:pPr>
        <w:jc w:val="both"/>
        <w:rPr>
          <w:rFonts w:ascii="Bookman Old Style" w:hAnsi="Bookman Old Style"/>
          <w:color w:val="000000" w:themeColor="text1"/>
          <w:sz w:val="22"/>
          <w:szCs w:val="22"/>
        </w:rPr>
      </w:pPr>
    </w:p>
    <w:p w14:paraId="14E367CC" w14:textId="77777777" w:rsidR="0027337E" w:rsidRPr="004C68F2" w:rsidRDefault="0027337E" w:rsidP="00320E29">
      <w:pPr>
        <w:pStyle w:val="Ttulo1"/>
        <w:numPr>
          <w:ilvl w:val="0"/>
          <w:numId w:val="48"/>
        </w:numPr>
        <w:spacing w:before="0"/>
        <w:rPr>
          <w:szCs w:val="22"/>
        </w:rPr>
      </w:pPr>
      <w:bookmarkStart w:id="12" w:name="_Toc48731950"/>
      <w:r w:rsidRPr="004C68F2">
        <w:rPr>
          <w:szCs w:val="22"/>
        </w:rPr>
        <w:t>PROPOSICIÓN.</w:t>
      </w:r>
      <w:bookmarkEnd w:id="12"/>
    </w:p>
    <w:p w14:paraId="7311BF7F" w14:textId="77777777" w:rsidR="0027337E" w:rsidRPr="004C68F2" w:rsidRDefault="0027337E" w:rsidP="004C68F2">
      <w:pPr>
        <w:jc w:val="both"/>
        <w:rPr>
          <w:rFonts w:ascii="Bookman Old Style" w:hAnsi="Bookman Old Style" w:cs="Arial"/>
          <w:sz w:val="22"/>
          <w:szCs w:val="22"/>
        </w:rPr>
      </w:pPr>
    </w:p>
    <w:p w14:paraId="26767D27" w14:textId="06B14AFE" w:rsidR="0027337E" w:rsidRPr="00616F28" w:rsidRDefault="0027337E" w:rsidP="004C68F2">
      <w:pPr>
        <w:jc w:val="both"/>
        <w:rPr>
          <w:rFonts w:ascii="Bookman Old Style" w:hAnsi="Bookman Old Style" w:cs="Arial"/>
          <w:i/>
          <w:sz w:val="22"/>
          <w:szCs w:val="22"/>
        </w:rPr>
      </w:pPr>
      <w:r w:rsidRPr="004C68F2">
        <w:rPr>
          <w:rFonts w:ascii="Bookman Old Style" w:hAnsi="Bookman Old Style" w:cs="Arial"/>
          <w:sz w:val="22"/>
          <w:szCs w:val="22"/>
        </w:rPr>
        <w:t xml:space="preserve">Con fundamento en las anteriores consideraciones, presentamos ponencia positiva con modificaciones al </w:t>
      </w:r>
      <w:r w:rsidRPr="00616F28">
        <w:rPr>
          <w:rFonts w:ascii="Bookman Old Style" w:hAnsi="Bookman Old Style" w:cs="Arial"/>
          <w:sz w:val="22"/>
          <w:szCs w:val="22"/>
        </w:rPr>
        <w:t xml:space="preserve">articulado y, en consecuencia, solicitamos a los Honorables Representantes que integran la Comisión Primera de la Cámara de Representantes, dar Primer Debate al </w:t>
      </w:r>
      <w:r w:rsidRPr="00616F28">
        <w:rPr>
          <w:rFonts w:ascii="Bookman Old Style" w:hAnsi="Bookman Old Style" w:cs="Arial"/>
          <w:bCs/>
          <w:sz w:val="22"/>
          <w:szCs w:val="22"/>
          <w:lang w:val="es-ES_tradnl"/>
        </w:rPr>
        <w:t xml:space="preserve">Proyecto de Ley número </w:t>
      </w:r>
      <w:r w:rsidR="00616F28" w:rsidRPr="00616F28">
        <w:rPr>
          <w:rFonts w:ascii="Bookman Old Style" w:hAnsi="Bookman Old Style" w:cs="Arial"/>
          <w:bCs/>
          <w:sz w:val="22"/>
          <w:szCs w:val="22"/>
          <w:lang w:val="es-ES_tradnl"/>
        </w:rPr>
        <w:t>410</w:t>
      </w:r>
      <w:r w:rsidRPr="00616F28">
        <w:rPr>
          <w:rFonts w:ascii="Bookman Old Style" w:hAnsi="Bookman Old Style" w:cs="Arial"/>
          <w:bCs/>
          <w:sz w:val="22"/>
          <w:szCs w:val="22"/>
          <w:lang w:val="es-ES_tradnl"/>
        </w:rPr>
        <w:t xml:space="preserve"> de 2020 Cámara</w:t>
      </w:r>
      <w:r w:rsidRPr="00616F28">
        <w:rPr>
          <w:rFonts w:ascii="Bookman Old Style" w:hAnsi="Bookman Old Style" w:cs="Arial"/>
          <w:sz w:val="22"/>
          <w:szCs w:val="22"/>
          <w:lang w:val="es-ES"/>
        </w:rPr>
        <w:t xml:space="preserve"> </w:t>
      </w:r>
      <w:r w:rsidR="00616F28" w:rsidRPr="00616F28">
        <w:rPr>
          <w:rFonts w:ascii="Bookman Old Style" w:hAnsi="Bookman Old Style" w:cs="Arial"/>
          <w:i/>
          <w:caps/>
          <w:sz w:val="22"/>
          <w:szCs w:val="22"/>
        </w:rPr>
        <w:t>“</w:t>
      </w:r>
      <w:r w:rsidR="0064403B">
        <w:rPr>
          <w:rFonts w:ascii="Bookman Old Style" w:hAnsi="Bookman Old Style" w:cs="Arial"/>
          <w:i/>
          <w:sz w:val="22"/>
          <w:szCs w:val="22"/>
        </w:rPr>
        <w:t xml:space="preserve">por </w:t>
      </w:r>
      <w:r w:rsidR="0064403B" w:rsidRPr="0064403B">
        <w:rPr>
          <w:rFonts w:ascii="Bookman Old Style" w:hAnsi="Bookman Old Style" w:cs="Arial"/>
          <w:i/>
          <w:sz w:val="22"/>
          <w:szCs w:val="22"/>
        </w:rPr>
        <w:t>e</w:t>
      </w:r>
      <w:bookmarkStart w:id="13" w:name="_GoBack"/>
      <w:bookmarkEnd w:id="13"/>
      <w:r w:rsidR="0064403B" w:rsidRPr="0064403B">
        <w:rPr>
          <w:rFonts w:ascii="Bookman Old Style" w:hAnsi="Bookman Old Style" w:cs="Arial"/>
          <w:i/>
          <w:sz w:val="22"/>
          <w:szCs w:val="22"/>
        </w:rPr>
        <w:t>l</w:t>
      </w:r>
      <w:r w:rsidR="00616F28" w:rsidRPr="00616F28">
        <w:rPr>
          <w:rFonts w:ascii="Bookman Old Style" w:hAnsi="Bookman Old Style" w:cs="Arial"/>
          <w:i/>
          <w:sz w:val="22"/>
          <w:szCs w:val="22"/>
        </w:rPr>
        <w:t xml:space="preserve"> cual se </w:t>
      </w:r>
      <w:r w:rsidR="00616F28" w:rsidRPr="00616F28">
        <w:rPr>
          <w:rFonts w:ascii="Bookman Old Style" w:hAnsi="Bookman Old Style" w:cs="Arial"/>
          <w:i/>
          <w:sz w:val="22"/>
          <w:szCs w:val="22"/>
        </w:rPr>
        <w:lastRenderedPageBreak/>
        <w:t>eliminan las prácticas taurinas en el territorio nacional y se dictan otras disposiciones”.</w:t>
      </w:r>
    </w:p>
    <w:p w14:paraId="55DC9FD1" w14:textId="77777777" w:rsidR="00616F28" w:rsidRPr="004C68F2" w:rsidRDefault="00616F28" w:rsidP="004C68F2">
      <w:pPr>
        <w:jc w:val="both"/>
        <w:rPr>
          <w:rFonts w:ascii="Bookman Old Style" w:hAnsi="Bookman Old Style" w:cs="Arial"/>
          <w:sz w:val="22"/>
          <w:szCs w:val="22"/>
        </w:rPr>
      </w:pPr>
    </w:p>
    <w:p w14:paraId="2AAC04E8" w14:textId="77777777" w:rsidR="0027337E" w:rsidRPr="004C68F2" w:rsidRDefault="0027337E" w:rsidP="004C68F2">
      <w:pPr>
        <w:jc w:val="both"/>
        <w:rPr>
          <w:rFonts w:ascii="Bookman Old Style" w:hAnsi="Bookman Old Style" w:cs="Arial"/>
          <w:sz w:val="22"/>
          <w:szCs w:val="22"/>
        </w:rPr>
      </w:pPr>
      <w:r w:rsidRPr="004C68F2">
        <w:rPr>
          <w:rFonts w:ascii="Bookman Old Style" w:hAnsi="Bookman Old Style" w:cs="Arial"/>
          <w:sz w:val="22"/>
          <w:szCs w:val="22"/>
        </w:rPr>
        <w:t>Cordialmente,</w:t>
      </w:r>
    </w:p>
    <w:p w14:paraId="2444F38D" w14:textId="77777777" w:rsidR="0027337E" w:rsidRPr="004C68F2" w:rsidRDefault="0027337E" w:rsidP="004C68F2">
      <w:pPr>
        <w:jc w:val="both"/>
        <w:rPr>
          <w:rFonts w:ascii="Bookman Old Style" w:hAnsi="Bookman Old Style" w:cs="Arial"/>
          <w:sz w:val="22"/>
          <w:szCs w:val="22"/>
        </w:rPr>
      </w:pPr>
    </w:p>
    <w:p w14:paraId="044035B4" w14:textId="77777777" w:rsidR="0027337E" w:rsidRPr="004C68F2" w:rsidRDefault="0027337E" w:rsidP="004C68F2">
      <w:pPr>
        <w:contextualSpacing/>
        <w:jc w:val="both"/>
        <w:rPr>
          <w:rFonts w:ascii="Bookman Old Style" w:hAnsi="Bookman Old Style"/>
          <w:color w:val="000000" w:themeColor="text1"/>
          <w:sz w:val="22"/>
          <w:szCs w:val="22"/>
        </w:rPr>
      </w:pPr>
    </w:p>
    <w:p w14:paraId="2E58E6D3" w14:textId="77777777" w:rsidR="0027337E" w:rsidRPr="004C68F2" w:rsidRDefault="0027337E" w:rsidP="004C68F2">
      <w:pPr>
        <w:contextualSpacing/>
        <w:jc w:val="both"/>
        <w:rPr>
          <w:rFonts w:ascii="Bookman Old Style" w:hAnsi="Bookman Old Style"/>
          <w:color w:val="000000" w:themeColor="text1"/>
          <w:sz w:val="22"/>
          <w:szCs w:val="22"/>
        </w:rPr>
      </w:pPr>
    </w:p>
    <w:tbl>
      <w:tblPr>
        <w:tblW w:w="8642" w:type="dxa"/>
        <w:tblLook w:val="04A0" w:firstRow="1" w:lastRow="0" w:firstColumn="1" w:lastColumn="0" w:noHBand="0" w:noVBand="1"/>
      </w:tblPr>
      <w:tblGrid>
        <w:gridCol w:w="4321"/>
        <w:gridCol w:w="4321"/>
      </w:tblGrid>
      <w:tr w:rsidR="0027337E" w:rsidRPr="004C68F2" w14:paraId="2F251941" w14:textId="77777777" w:rsidTr="004C68F2">
        <w:trPr>
          <w:trHeight w:val="1112"/>
        </w:trPr>
        <w:tc>
          <w:tcPr>
            <w:tcW w:w="4321" w:type="dxa"/>
          </w:tcPr>
          <w:p w14:paraId="239BFB7B" w14:textId="77777777" w:rsidR="0027337E" w:rsidRPr="004C68F2" w:rsidRDefault="0027337E" w:rsidP="004C68F2">
            <w:pPr>
              <w:jc w:val="center"/>
              <w:rPr>
                <w:rFonts w:ascii="Bookman Old Style" w:hAnsi="Bookman Old Style" w:cs="Arial"/>
              </w:rPr>
            </w:pPr>
          </w:p>
          <w:p w14:paraId="320B5475" w14:textId="77777777" w:rsidR="0027337E" w:rsidRPr="004C68F2" w:rsidRDefault="0027337E" w:rsidP="004C68F2">
            <w:pPr>
              <w:jc w:val="center"/>
              <w:rPr>
                <w:rFonts w:ascii="Bookman Old Style" w:hAnsi="Bookman Old Style" w:cs="Arial"/>
              </w:rPr>
            </w:pPr>
          </w:p>
          <w:p w14:paraId="77B3DDDF"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JUAN CARLOS LOZADA VARGAS</w:t>
            </w:r>
          </w:p>
          <w:p w14:paraId="4A53BE41"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09B6A267"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Coordinador Ponente</w:t>
            </w:r>
          </w:p>
          <w:p w14:paraId="3E80F447" w14:textId="77777777" w:rsidR="0027337E" w:rsidRPr="004C68F2" w:rsidRDefault="0027337E" w:rsidP="004C68F2">
            <w:pPr>
              <w:pStyle w:val="Sinespaciado"/>
              <w:tabs>
                <w:tab w:val="left" w:pos="8055"/>
              </w:tabs>
              <w:jc w:val="center"/>
              <w:rPr>
                <w:rFonts w:ascii="Bookman Old Style" w:hAnsi="Bookman Old Style" w:cs="Arial"/>
              </w:rPr>
            </w:pPr>
          </w:p>
        </w:tc>
        <w:tc>
          <w:tcPr>
            <w:tcW w:w="4321" w:type="dxa"/>
          </w:tcPr>
          <w:p w14:paraId="74281DBC" w14:textId="77777777" w:rsidR="0027337E" w:rsidRPr="004C68F2" w:rsidRDefault="0027337E" w:rsidP="004C68F2">
            <w:pPr>
              <w:jc w:val="center"/>
              <w:rPr>
                <w:rFonts w:ascii="Bookman Old Style" w:hAnsi="Bookman Old Style" w:cs="Arial"/>
              </w:rPr>
            </w:pPr>
          </w:p>
          <w:p w14:paraId="42099C40" w14:textId="77777777" w:rsidR="0027337E" w:rsidRPr="004C68F2" w:rsidRDefault="0027337E" w:rsidP="004C68F2">
            <w:pPr>
              <w:jc w:val="center"/>
              <w:rPr>
                <w:rFonts w:ascii="Bookman Old Style" w:hAnsi="Bookman Old Style" w:cs="Arial"/>
              </w:rPr>
            </w:pPr>
          </w:p>
          <w:p w14:paraId="05FD03D2"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b/>
              </w:rPr>
              <w:t>JOSE DANIEL LOPEZ JIMENEZ</w:t>
            </w:r>
          </w:p>
          <w:p w14:paraId="56883175"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41DE28C0" w14:textId="7FF25C75" w:rsidR="00DB3663" w:rsidRPr="004C68F2" w:rsidRDefault="00DB3663" w:rsidP="00DB3663">
            <w:pPr>
              <w:pStyle w:val="Sinespaciado"/>
              <w:tabs>
                <w:tab w:val="left" w:pos="8055"/>
              </w:tabs>
              <w:jc w:val="center"/>
              <w:rPr>
                <w:rFonts w:ascii="Bookman Old Style" w:hAnsi="Bookman Old Style" w:cs="Arial"/>
              </w:rPr>
            </w:pPr>
            <w:r>
              <w:rPr>
                <w:rFonts w:ascii="Bookman Old Style" w:hAnsi="Bookman Old Style" w:cs="Arial"/>
              </w:rPr>
              <w:t xml:space="preserve">Coordinador </w:t>
            </w:r>
            <w:r w:rsidRPr="004C68F2">
              <w:rPr>
                <w:rFonts w:ascii="Bookman Old Style" w:hAnsi="Bookman Old Style" w:cs="Arial"/>
              </w:rPr>
              <w:t>Ponente</w:t>
            </w:r>
          </w:p>
          <w:p w14:paraId="53C1068C" w14:textId="5CD22C5E" w:rsidR="0027337E" w:rsidRPr="004C68F2" w:rsidRDefault="0027337E" w:rsidP="004C68F2">
            <w:pPr>
              <w:pStyle w:val="Sinespaciado"/>
              <w:tabs>
                <w:tab w:val="left" w:pos="8055"/>
              </w:tabs>
              <w:jc w:val="center"/>
              <w:rPr>
                <w:rFonts w:ascii="Bookman Old Style" w:hAnsi="Bookman Old Style" w:cs="Arial"/>
              </w:rPr>
            </w:pPr>
          </w:p>
        </w:tc>
      </w:tr>
      <w:tr w:rsidR="0027337E" w:rsidRPr="004C68F2" w14:paraId="4B1C775C" w14:textId="77777777" w:rsidTr="004C68F2">
        <w:trPr>
          <w:trHeight w:val="843"/>
        </w:trPr>
        <w:tc>
          <w:tcPr>
            <w:tcW w:w="4321" w:type="dxa"/>
          </w:tcPr>
          <w:p w14:paraId="3D4697C6" w14:textId="77777777" w:rsidR="0027337E" w:rsidRPr="004C68F2" w:rsidRDefault="0027337E" w:rsidP="004C68F2">
            <w:pPr>
              <w:jc w:val="center"/>
              <w:rPr>
                <w:rFonts w:ascii="Bookman Old Style" w:hAnsi="Bookman Old Style" w:cs="Arial"/>
              </w:rPr>
            </w:pPr>
          </w:p>
          <w:p w14:paraId="58395381" w14:textId="77777777" w:rsidR="0027337E" w:rsidRPr="004C68F2" w:rsidRDefault="0027337E" w:rsidP="004C68F2">
            <w:pPr>
              <w:jc w:val="center"/>
              <w:rPr>
                <w:rFonts w:ascii="Bookman Old Style" w:hAnsi="Bookman Old Style" w:cs="Arial"/>
              </w:rPr>
            </w:pPr>
          </w:p>
          <w:p w14:paraId="2A456E21" w14:textId="77777777" w:rsidR="0027337E" w:rsidRPr="004C68F2" w:rsidRDefault="0027337E" w:rsidP="004C68F2">
            <w:pPr>
              <w:jc w:val="center"/>
              <w:rPr>
                <w:rFonts w:ascii="Bookman Old Style" w:hAnsi="Bookman Old Style" w:cs="Arial"/>
              </w:rPr>
            </w:pPr>
          </w:p>
          <w:p w14:paraId="69BCF4F1" w14:textId="77777777" w:rsidR="008A7299" w:rsidRDefault="008A7299" w:rsidP="00DB3663">
            <w:pPr>
              <w:pStyle w:val="Sinespaciado"/>
              <w:tabs>
                <w:tab w:val="left" w:pos="8055"/>
              </w:tabs>
              <w:rPr>
                <w:rFonts w:ascii="Bookman Old Style" w:hAnsi="Bookman Old Style" w:cs="Arial"/>
                <w:b/>
              </w:rPr>
            </w:pPr>
          </w:p>
          <w:p w14:paraId="110DB026" w14:textId="77777777" w:rsidR="008A7299" w:rsidRDefault="008A7299" w:rsidP="004C68F2">
            <w:pPr>
              <w:pStyle w:val="Sinespaciado"/>
              <w:tabs>
                <w:tab w:val="left" w:pos="8055"/>
              </w:tabs>
              <w:jc w:val="center"/>
              <w:rPr>
                <w:rFonts w:ascii="Bookman Old Style" w:hAnsi="Bookman Old Style" w:cs="Arial"/>
                <w:b/>
              </w:rPr>
            </w:pPr>
          </w:p>
          <w:p w14:paraId="552B592D" w14:textId="7F7FC247" w:rsidR="0027337E" w:rsidRPr="004C68F2" w:rsidRDefault="00DB3663" w:rsidP="004C68F2">
            <w:pPr>
              <w:pStyle w:val="Sinespaciado"/>
              <w:tabs>
                <w:tab w:val="left" w:pos="8055"/>
              </w:tabs>
              <w:jc w:val="center"/>
              <w:rPr>
                <w:rFonts w:ascii="Bookman Old Style" w:hAnsi="Bookman Old Style" w:cs="Arial"/>
                <w:b/>
              </w:rPr>
            </w:pPr>
            <w:r>
              <w:rPr>
                <w:rFonts w:ascii="Bookman Old Style" w:hAnsi="Bookman Old Style" w:cs="Arial"/>
                <w:b/>
              </w:rPr>
              <w:t>INTI RAUL ASPRILLA REYES</w:t>
            </w:r>
          </w:p>
          <w:p w14:paraId="7B08F61A"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21D62CB9" w14:textId="77777777" w:rsidR="0027337E" w:rsidRPr="004C68F2" w:rsidRDefault="0027337E" w:rsidP="004C68F2">
            <w:pPr>
              <w:jc w:val="center"/>
              <w:rPr>
                <w:rFonts w:ascii="Bookman Old Style" w:hAnsi="Bookman Old Style" w:cs="Arial"/>
              </w:rPr>
            </w:pPr>
            <w:r w:rsidRPr="004C68F2">
              <w:rPr>
                <w:rFonts w:ascii="Bookman Old Style" w:hAnsi="Bookman Old Style" w:cs="Arial"/>
              </w:rPr>
              <w:t>Coordinador Ponente</w:t>
            </w:r>
          </w:p>
        </w:tc>
        <w:tc>
          <w:tcPr>
            <w:tcW w:w="4321" w:type="dxa"/>
          </w:tcPr>
          <w:p w14:paraId="307E70A0" w14:textId="77777777" w:rsidR="0027337E" w:rsidRPr="004C68F2" w:rsidRDefault="0027337E" w:rsidP="004C68F2">
            <w:pPr>
              <w:pStyle w:val="Sinespaciado"/>
              <w:tabs>
                <w:tab w:val="left" w:pos="8055"/>
              </w:tabs>
              <w:jc w:val="center"/>
              <w:rPr>
                <w:rFonts w:ascii="Bookman Old Style" w:hAnsi="Bookman Old Style" w:cs="Arial"/>
                <w:b/>
              </w:rPr>
            </w:pPr>
          </w:p>
          <w:p w14:paraId="7DB38589" w14:textId="77777777" w:rsidR="0027337E" w:rsidRPr="004C68F2" w:rsidRDefault="0027337E" w:rsidP="004C68F2">
            <w:pPr>
              <w:pStyle w:val="Sinespaciado"/>
              <w:tabs>
                <w:tab w:val="left" w:pos="8055"/>
              </w:tabs>
              <w:jc w:val="center"/>
              <w:rPr>
                <w:rFonts w:ascii="Bookman Old Style" w:hAnsi="Bookman Old Style" w:cs="Arial"/>
                <w:b/>
              </w:rPr>
            </w:pPr>
          </w:p>
          <w:p w14:paraId="6B16C9AF" w14:textId="77777777" w:rsidR="0027337E" w:rsidRPr="004C68F2" w:rsidRDefault="0027337E" w:rsidP="004C68F2">
            <w:pPr>
              <w:pStyle w:val="Sinespaciado"/>
              <w:tabs>
                <w:tab w:val="left" w:pos="8055"/>
              </w:tabs>
              <w:jc w:val="center"/>
              <w:rPr>
                <w:rFonts w:ascii="Bookman Old Style" w:hAnsi="Bookman Old Style" w:cs="Arial"/>
                <w:b/>
              </w:rPr>
            </w:pPr>
          </w:p>
          <w:p w14:paraId="5C4EBBCD" w14:textId="77777777" w:rsidR="008A7299" w:rsidRDefault="008A7299" w:rsidP="00DB3663">
            <w:pPr>
              <w:pStyle w:val="Sinespaciado"/>
              <w:tabs>
                <w:tab w:val="left" w:pos="8055"/>
              </w:tabs>
              <w:rPr>
                <w:rFonts w:ascii="Bookman Old Style" w:hAnsi="Bookman Old Style" w:cs="Arial"/>
                <w:b/>
              </w:rPr>
            </w:pPr>
          </w:p>
          <w:p w14:paraId="5387862E" w14:textId="77777777" w:rsidR="008A7299" w:rsidRDefault="008A7299" w:rsidP="004C68F2">
            <w:pPr>
              <w:pStyle w:val="Sinespaciado"/>
              <w:tabs>
                <w:tab w:val="left" w:pos="8055"/>
              </w:tabs>
              <w:jc w:val="center"/>
              <w:rPr>
                <w:rFonts w:ascii="Bookman Old Style" w:hAnsi="Bookman Old Style" w:cs="Arial"/>
                <w:b/>
              </w:rPr>
            </w:pPr>
          </w:p>
          <w:p w14:paraId="1133835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b/>
              </w:rPr>
              <w:t>LUIS ALBERTO ALBAN URBANO</w:t>
            </w:r>
          </w:p>
          <w:p w14:paraId="0042079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00299F59"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57D2BFFF" w14:textId="77777777" w:rsidR="0027337E" w:rsidRPr="004C68F2" w:rsidRDefault="0027337E" w:rsidP="004C68F2">
            <w:pPr>
              <w:jc w:val="center"/>
              <w:rPr>
                <w:rFonts w:ascii="Bookman Old Style" w:hAnsi="Bookman Old Style" w:cs="Arial"/>
              </w:rPr>
            </w:pPr>
          </w:p>
        </w:tc>
      </w:tr>
      <w:tr w:rsidR="0027337E" w:rsidRPr="004C68F2" w14:paraId="4BE8953D" w14:textId="77777777" w:rsidTr="004C68F2">
        <w:trPr>
          <w:trHeight w:val="127"/>
        </w:trPr>
        <w:tc>
          <w:tcPr>
            <w:tcW w:w="4321" w:type="dxa"/>
          </w:tcPr>
          <w:p w14:paraId="1E1BE18F" w14:textId="77777777" w:rsidR="0027337E" w:rsidRPr="004C68F2" w:rsidRDefault="0027337E" w:rsidP="004C68F2">
            <w:pPr>
              <w:jc w:val="center"/>
              <w:rPr>
                <w:rFonts w:ascii="Bookman Old Style" w:hAnsi="Bookman Old Style" w:cs="Arial"/>
              </w:rPr>
            </w:pPr>
          </w:p>
          <w:p w14:paraId="2EA8FC53" w14:textId="77777777" w:rsidR="0027337E" w:rsidRPr="004C68F2" w:rsidRDefault="0027337E" w:rsidP="004C68F2">
            <w:pPr>
              <w:jc w:val="center"/>
              <w:rPr>
                <w:rFonts w:ascii="Bookman Old Style" w:hAnsi="Bookman Old Style" w:cs="Arial"/>
              </w:rPr>
            </w:pPr>
          </w:p>
          <w:p w14:paraId="23E4B9AC" w14:textId="77777777" w:rsidR="0027337E" w:rsidRPr="004C68F2" w:rsidRDefault="0027337E" w:rsidP="004C68F2">
            <w:pPr>
              <w:jc w:val="center"/>
              <w:rPr>
                <w:rFonts w:ascii="Bookman Old Style" w:hAnsi="Bookman Old Style" w:cs="Arial"/>
              </w:rPr>
            </w:pPr>
          </w:p>
          <w:p w14:paraId="18B3B3D5" w14:textId="77777777" w:rsidR="0027337E" w:rsidRPr="004C68F2" w:rsidRDefault="0027337E" w:rsidP="004C68F2">
            <w:pPr>
              <w:jc w:val="center"/>
              <w:rPr>
                <w:rFonts w:ascii="Bookman Old Style" w:hAnsi="Bookman Old Style" w:cs="Arial"/>
              </w:rPr>
            </w:pPr>
          </w:p>
          <w:p w14:paraId="3A7F6CEB" w14:textId="4AB838D2" w:rsidR="0027337E" w:rsidRPr="004C68F2" w:rsidRDefault="00DB3663" w:rsidP="004C68F2">
            <w:pPr>
              <w:pStyle w:val="Sinespaciado"/>
              <w:tabs>
                <w:tab w:val="left" w:pos="8055"/>
              </w:tabs>
              <w:jc w:val="center"/>
              <w:rPr>
                <w:rFonts w:ascii="Bookman Old Style" w:hAnsi="Bookman Old Style" w:cs="Arial"/>
              </w:rPr>
            </w:pPr>
            <w:r>
              <w:rPr>
                <w:rFonts w:ascii="Bookman Old Style" w:hAnsi="Bookman Old Style" w:cs="Arial"/>
                <w:b/>
              </w:rPr>
              <w:t>JUAN CARLOS WILLS OSPINA</w:t>
            </w:r>
          </w:p>
          <w:p w14:paraId="45823396"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2F01CE8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735C93AA" w14:textId="77777777" w:rsidR="0027337E" w:rsidRPr="004C68F2" w:rsidRDefault="0027337E" w:rsidP="004C68F2">
            <w:pPr>
              <w:jc w:val="center"/>
              <w:rPr>
                <w:rFonts w:ascii="Bookman Old Style" w:hAnsi="Bookman Old Style" w:cs="Arial"/>
              </w:rPr>
            </w:pPr>
          </w:p>
        </w:tc>
        <w:tc>
          <w:tcPr>
            <w:tcW w:w="4321" w:type="dxa"/>
          </w:tcPr>
          <w:p w14:paraId="4199C84F" w14:textId="77777777" w:rsidR="0027337E" w:rsidRPr="004C68F2" w:rsidRDefault="0027337E" w:rsidP="004C68F2">
            <w:pPr>
              <w:jc w:val="center"/>
              <w:rPr>
                <w:rFonts w:ascii="Bookman Old Style" w:hAnsi="Bookman Old Style" w:cs="Arial"/>
              </w:rPr>
            </w:pPr>
          </w:p>
          <w:p w14:paraId="43A659BD" w14:textId="77777777" w:rsidR="0027337E" w:rsidRPr="004C68F2" w:rsidRDefault="0027337E" w:rsidP="004C68F2">
            <w:pPr>
              <w:jc w:val="center"/>
              <w:rPr>
                <w:rFonts w:ascii="Bookman Old Style" w:hAnsi="Bookman Old Style" w:cs="Arial"/>
              </w:rPr>
            </w:pPr>
          </w:p>
          <w:p w14:paraId="5FCD75BC" w14:textId="77777777" w:rsidR="0027337E" w:rsidRPr="004C68F2" w:rsidRDefault="0027337E" w:rsidP="004C68F2">
            <w:pPr>
              <w:jc w:val="center"/>
              <w:rPr>
                <w:rFonts w:ascii="Bookman Old Style" w:hAnsi="Bookman Old Style" w:cs="Arial"/>
              </w:rPr>
            </w:pPr>
          </w:p>
          <w:p w14:paraId="682A9179" w14:textId="77777777" w:rsidR="0027337E" w:rsidRPr="004C68F2" w:rsidRDefault="0027337E" w:rsidP="004C68F2">
            <w:pPr>
              <w:jc w:val="center"/>
              <w:rPr>
                <w:rFonts w:ascii="Bookman Old Style" w:hAnsi="Bookman Old Style" w:cs="Arial"/>
              </w:rPr>
            </w:pPr>
          </w:p>
          <w:p w14:paraId="441BC98A" w14:textId="0C8B5E23" w:rsidR="0027337E" w:rsidRPr="004C68F2" w:rsidRDefault="00DB3663" w:rsidP="004C68F2">
            <w:pPr>
              <w:pStyle w:val="Sinespaciado"/>
              <w:tabs>
                <w:tab w:val="left" w:pos="8055"/>
              </w:tabs>
              <w:jc w:val="center"/>
              <w:rPr>
                <w:rFonts w:ascii="Bookman Old Style" w:hAnsi="Bookman Old Style" w:cs="Arial"/>
              </w:rPr>
            </w:pPr>
            <w:r>
              <w:rPr>
                <w:rFonts w:ascii="Bookman Old Style" w:hAnsi="Bookman Old Style" w:cs="Arial"/>
                <w:b/>
              </w:rPr>
              <w:t>JUAN MANUEL DAZA IGUARÁN</w:t>
            </w:r>
          </w:p>
          <w:p w14:paraId="790F9343"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65917343"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17FFD059" w14:textId="77777777" w:rsidR="0027337E" w:rsidRPr="004C68F2" w:rsidRDefault="0027337E" w:rsidP="004C68F2">
            <w:pPr>
              <w:jc w:val="center"/>
              <w:rPr>
                <w:rFonts w:ascii="Bookman Old Style" w:hAnsi="Bookman Old Style" w:cs="Arial"/>
              </w:rPr>
            </w:pPr>
          </w:p>
        </w:tc>
      </w:tr>
      <w:tr w:rsidR="0027337E" w:rsidRPr="004C68F2" w14:paraId="7BFD168A" w14:textId="77777777" w:rsidTr="004C68F2">
        <w:trPr>
          <w:trHeight w:val="475"/>
        </w:trPr>
        <w:tc>
          <w:tcPr>
            <w:tcW w:w="4321" w:type="dxa"/>
          </w:tcPr>
          <w:p w14:paraId="34B213C3" w14:textId="77777777" w:rsidR="0027337E" w:rsidRPr="004C68F2" w:rsidRDefault="0027337E" w:rsidP="004C68F2">
            <w:pPr>
              <w:jc w:val="center"/>
              <w:rPr>
                <w:rFonts w:ascii="Bookman Old Style" w:hAnsi="Bookman Old Style" w:cs="Arial"/>
              </w:rPr>
            </w:pPr>
          </w:p>
          <w:p w14:paraId="2EACE812" w14:textId="77777777" w:rsidR="0027337E" w:rsidRPr="004C68F2" w:rsidRDefault="0027337E" w:rsidP="004C68F2">
            <w:pPr>
              <w:jc w:val="center"/>
              <w:rPr>
                <w:rFonts w:ascii="Bookman Old Style" w:hAnsi="Bookman Old Style" w:cs="Arial"/>
              </w:rPr>
            </w:pPr>
          </w:p>
          <w:p w14:paraId="3A4FD846" w14:textId="77777777" w:rsidR="0027337E" w:rsidRPr="004C68F2" w:rsidRDefault="0027337E" w:rsidP="004C68F2">
            <w:pPr>
              <w:jc w:val="center"/>
              <w:rPr>
                <w:rFonts w:ascii="Bookman Old Style" w:hAnsi="Bookman Old Style" w:cs="Arial"/>
              </w:rPr>
            </w:pPr>
          </w:p>
          <w:p w14:paraId="2428D830" w14:textId="77777777" w:rsidR="0027337E" w:rsidRPr="004C68F2" w:rsidRDefault="0027337E" w:rsidP="004C68F2">
            <w:pPr>
              <w:jc w:val="center"/>
              <w:rPr>
                <w:rFonts w:ascii="Bookman Old Style" w:hAnsi="Bookman Old Style" w:cs="Arial"/>
              </w:rPr>
            </w:pPr>
          </w:p>
          <w:p w14:paraId="4DFA6C59"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CARLOS GERMAN NAVAS TALERO</w:t>
            </w:r>
          </w:p>
          <w:p w14:paraId="1B1B740B"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073F781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28EE65F1" w14:textId="77777777" w:rsidR="0027337E" w:rsidRPr="004C68F2" w:rsidRDefault="0027337E" w:rsidP="004C68F2">
            <w:pPr>
              <w:jc w:val="center"/>
              <w:rPr>
                <w:rFonts w:ascii="Bookman Old Style" w:hAnsi="Bookman Old Style" w:cs="Arial"/>
              </w:rPr>
            </w:pPr>
          </w:p>
        </w:tc>
        <w:tc>
          <w:tcPr>
            <w:tcW w:w="4321" w:type="dxa"/>
          </w:tcPr>
          <w:p w14:paraId="5CC99DC0" w14:textId="77777777" w:rsidR="0027337E" w:rsidRPr="004C68F2" w:rsidRDefault="0027337E" w:rsidP="004C68F2">
            <w:pPr>
              <w:jc w:val="center"/>
              <w:rPr>
                <w:rFonts w:ascii="Bookman Old Style" w:hAnsi="Bookman Old Style" w:cs="Arial"/>
              </w:rPr>
            </w:pPr>
          </w:p>
          <w:p w14:paraId="3DB5A85D" w14:textId="77777777" w:rsidR="0027337E" w:rsidRPr="004C68F2" w:rsidRDefault="0027337E" w:rsidP="004C68F2">
            <w:pPr>
              <w:jc w:val="center"/>
              <w:rPr>
                <w:rFonts w:ascii="Bookman Old Style" w:hAnsi="Bookman Old Style" w:cs="Arial"/>
              </w:rPr>
            </w:pPr>
          </w:p>
          <w:p w14:paraId="7D08DAE9" w14:textId="77777777" w:rsidR="0027337E" w:rsidRPr="004C68F2" w:rsidRDefault="0027337E" w:rsidP="004C68F2">
            <w:pPr>
              <w:jc w:val="center"/>
              <w:rPr>
                <w:rFonts w:ascii="Bookman Old Style" w:hAnsi="Bookman Old Style" w:cs="Arial"/>
              </w:rPr>
            </w:pPr>
          </w:p>
          <w:p w14:paraId="57C328C2" w14:textId="77777777" w:rsidR="0027337E" w:rsidRPr="004C68F2" w:rsidRDefault="0027337E" w:rsidP="004C68F2">
            <w:pPr>
              <w:jc w:val="center"/>
              <w:rPr>
                <w:rFonts w:ascii="Bookman Old Style" w:hAnsi="Bookman Old Style" w:cs="Arial"/>
              </w:rPr>
            </w:pPr>
          </w:p>
          <w:p w14:paraId="74FF8E17" w14:textId="77777777" w:rsidR="0027337E" w:rsidRPr="004C68F2" w:rsidRDefault="0027337E" w:rsidP="004C68F2">
            <w:pPr>
              <w:pStyle w:val="Sinespaciado"/>
              <w:tabs>
                <w:tab w:val="left" w:pos="8055"/>
              </w:tabs>
              <w:jc w:val="center"/>
              <w:rPr>
                <w:rFonts w:ascii="Bookman Old Style" w:hAnsi="Bookman Old Style" w:cs="Arial"/>
                <w:b/>
              </w:rPr>
            </w:pPr>
            <w:r w:rsidRPr="004C68F2">
              <w:rPr>
                <w:rFonts w:ascii="Bookman Old Style" w:hAnsi="Bookman Old Style" w:cs="Arial"/>
                <w:b/>
              </w:rPr>
              <w:t>ÁNGELA MARÍA ROBLEDO GOMEZ</w:t>
            </w:r>
          </w:p>
          <w:p w14:paraId="0AFAEC9D"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5753F802"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4B5E4EAD" w14:textId="77777777" w:rsidR="0027337E" w:rsidRPr="004C68F2" w:rsidRDefault="0027337E" w:rsidP="004C68F2">
            <w:pPr>
              <w:jc w:val="center"/>
              <w:rPr>
                <w:rFonts w:ascii="Bookman Old Style" w:hAnsi="Bookman Old Style" w:cs="Arial"/>
              </w:rPr>
            </w:pPr>
          </w:p>
        </w:tc>
      </w:tr>
      <w:tr w:rsidR="0027337E" w:rsidRPr="004C68F2" w14:paraId="43BC9C85" w14:textId="77777777" w:rsidTr="00DB3663">
        <w:trPr>
          <w:trHeight w:val="81"/>
        </w:trPr>
        <w:tc>
          <w:tcPr>
            <w:tcW w:w="4321" w:type="dxa"/>
          </w:tcPr>
          <w:p w14:paraId="3756A837" w14:textId="77777777" w:rsidR="0027337E" w:rsidRPr="004C68F2" w:rsidRDefault="0027337E" w:rsidP="004C68F2">
            <w:pPr>
              <w:jc w:val="center"/>
              <w:rPr>
                <w:rFonts w:ascii="Bookman Old Style" w:hAnsi="Bookman Old Style" w:cs="Arial"/>
              </w:rPr>
            </w:pPr>
          </w:p>
          <w:p w14:paraId="57269A69" w14:textId="77777777" w:rsidR="0027337E" w:rsidRPr="004C68F2" w:rsidRDefault="0027337E" w:rsidP="00DB3663">
            <w:pPr>
              <w:rPr>
                <w:rFonts w:ascii="Bookman Old Style" w:hAnsi="Bookman Old Style" w:cs="Arial"/>
              </w:rPr>
            </w:pPr>
          </w:p>
          <w:p w14:paraId="7EFE8E20" w14:textId="77777777" w:rsidR="0027337E" w:rsidRPr="004C68F2" w:rsidRDefault="0027337E" w:rsidP="004C68F2">
            <w:pPr>
              <w:jc w:val="center"/>
              <w:rPr>
                <w:rFonts w:ascii="Bookman Old Style" w:hAnsi="Bookman Old Style" w:cs="Arial"/>
              </w:rPr>
            </w:pPr>
          </w:p>
          <w:p w14:paraId="069F559E" w14:textId="4CACFC85" w:rsidR="0027337E" w:rsidRPr="004C68F2" w:rsidRDefault="00DB3663" w:rsidP="004C68F2">
            <w:pPr>
              <w:pStyle w:val="Sinespaciado"/>
              <w:tabs>
                <w:tab w:val="left" w:pos="8055"/>
              </w:tabs>
              <w:jc w:val="center"/>
              <w:rPr>
                <w:rFonts w:ascii="Bookman Old Style" w:hAnsi="Bookman Old Style" w:cs="Arial"/>
                <w:b/>
              </w:rPr>
            </w:pPr>
            <w:r>
              <w:rPr>
                <w:rFonts w:ascii="Bookman Old Style" w:hAnsi="Bookman Old Style" w:cs="Arial"/>
                <w:b/>
              </w:rPr>
              <w:t>JORGE ENRIQUE BURGOS LUGO</w:t>
            </w:r>
          </w:p>
          <w:p w14:paraId="29A448C5" w14:textId="77777777" w:rsidR="0027337E" w:rsidRPr="004C68F2" w:rsidRDefault="0027337E" w:rsidP="004C68F2">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73DCB3B0" w14:textId="23605728" w:rsidR="0027337E" w:rsidRPr="004C68F2" w:rsidRDefault="0027337E" w:rsidP="00DB3663">
            <w:pPr>
              <w:pStyle w:val="Sinespaciado"/>
              <w:tabs>
                <w:tab w:val="left" w:pos="8055"/>
              </w:tabs>
              <w:jc w:val="center"/>
              <w:rPr>
                <w:rFonts w:ascii="Bookman Old Style" w:hAnsi="Bookman Old Style" w:cs="Arial"/>
              </w:rPr>
            </w:pPr>
            <w:r w:rsidRPr="004C68F2">
              <w:rPr>
                <w:rFonts w:ascii="Bookman Old Style" w:hAnsi="Bookman Old Style" w:cs="Arial"/>
              </w:rPr>
              <w:t>Ponente</w:t>
            </w:r>
          </w:p>
        </w:tc>
        <w:tc>
          <w:tcPr>
            <w:tcW w:w="4321" w:type="dxa"/>
          </w:tcPr>
          <w:p w14:paraId="74E657A0" w14:textId="77777777" w:rsidR="0027337E" w:rsidRPr="004C68F2" w:rsidRDefault="0027337E" w:rsidP="004C68F2">
            <w:pPr>
              <w:jc w:val="center"/>
              <w:rPr>
                <w:rFonts w:ascii="Bookman Old Style" w:hAnsi="Bookman Old Style" w:cs="Arial"/>
              </w:rPr>
            </w:pPr>
          </w:p>
        </w:tc>
      </w:tr>
    </w:tbl>
    <w:p w14:paraId="35CD7CD9" w14:textId="1D0A8A35" w:rsidR="0027337E" w:rsidRPr="00616F28" w:rsidRDefault="0027337E" w:rsidP="00DB3663">
      <w:pPr>
        <w:pStyle w:val="Sinespaciado"/>
        <w:tabs>
          <w:tab w:val="left" w:pos="8055"/>
        </w:tabs>
        <w:ind w:left="709"/>
        <w:jc w:val="center"/>
        <w:rPr>
          <w:rFonts w:ascii="Bookman Old Style" w:hAnsi="Bookman Old Style" w:cs="Arial"/>
          <w:i/>
        </w:rPr>
      </w:pPr>
      <w:r w:rsidRPr="004C68F2">
        <w:rPr>
          <w:rFonts w:ascii="Bookman Old Style" w:hAnsi="Bookman Old Style"/>
        </w:rPr>
        <w:br w:type="page"/>
      </w:r>
      <w:bookmarkStart w:id="14" w:name="_Toc48731951"/>
      <w:r w:rsidRPr="004C68F2">
        <w:rPr>
          <w:rStyle w:val="Ttulo1Car"/>
          <w:szCs w:val="22"/>
        </w:rPr>
        <w:lastRenderedPageBreak/>
        <w:t xml:space="preserve">TEXTO PROPUESTO PARA PRIMER DEBATE AL PROYECTO DE LEY NÚMERO </w:t>
      </w:r>
      <w:r w:rsidR="00616F28">
        <w:rPr>
          <w:rStyle w:val="Ttulo1Car"/>
          <w:szCs w:val="22"/>
        </w:rPr>
        <w:t>410</w:t>
      </w:r>
      <w:r w:rsidRPr="004C68F2">
        <w:rPr>
          <w:rStyle w:val="Ttulo1Car"/>
          <w:szCs w:val="22"/>
        </w:rPr>
        <w:t xml:space="preserve"> DE 2020 CÁMARA</w:t>
      </w:r>
      <w:bookmarkEnd w:id="14"/>
      <w:r w:rsidRPr="004C68F2">
        <w:rPr>
          <w:rStyle w:val="Ttulo1Car"/>
          <w:szCs w:val="22"/>
        </w:rPr>
        <w:t xml:space="preserve"> </w:t>
      </w:r>
      <w:r w:rsidRPr="00616F28">
        <w:rPr>
          <w:rFonts w:ascii="Bookman Old Style" w:hAnsi="Bookman Old Style" w:cs="Arial"/>
          <w:i/>
          <w:caps/>
        </w:rPr>
        <w:t>“</w:t>
      </w:r>
      <w:r w:rsidRPr="00616F28">
        <w:rPr>
          <w:rFonts w:ascii="Bookman Old Style" w:hAnsi="Bookman Old Style" w:cs="Arial"/>
          <w:i/>
        </w:rPr>
        <w:t xml:space="preserve">por </w:t>
      </w:r>
      <w:r w:rsidR="00616F28" w:rsidRPr="00616F28">
        <w:rPr>
          <w:rFonts w:ascii="Bookman Old Style" w:hAnsi="Bookman Old Style" w:cs="Arial"/>
          <w:i/>
        </w:rPr>
        <w:t>la cual se eliminan las prácticas taurinas en el territorio nacional y se dictan otras disposiciones”</w:t>
      </w:r>
    </w:p>
    <w:p w14:paraId="273B6534" w14:textId="77777777" w:rsidR="0027337E" w:rsidRPr="004C68F2" w:rsidRDefault="0027337E" w:rsidP="004C68F2">
      <w:pPr>
        <w:jc w:val="both"/>
        <w:rPr>
          <w:rFonts w:ascii="Bookman Old Style" w:hAnsi="Bookman Old Style"/>
          <w:color w:val="000000" w:themeColor="text1"/>
          <w:sz w:val="22"/>
          <w:szCs w:val="22"/>
        </w:rPr>
      </w:pPr>
    </w:p>
    <w:p w14:paraId="2CA64399" w14:textId="77777777" w:rsidR="0027337E" w:rsidRPr="004C68F2" w:rsidRDefault="0027337E" w:rsidP="004C68F2">
      <w:pPr>
        <w:jc w:val="center"/>
        <w:rPr>
          <w:rFonts w:ascii="Bookman Old Style" w:hAnsi="Bookman Old Style" w:cs="Arial"/>
          <w:b/>
          <w:sz w:val="22"/>
          <w:szCs w:val="22"/>
          <w:lang w:val="es-ES"/>
        </w:rPr>
      </w:pPr>
    </w:p>
    <w:p w14:paraId="017C17E8" w14:textId="77777777" w:rsidR="0027337E" w:rsidRPr="004C68F2" w:rsidRDefault="0027337E" w:rsidP="004C68F2">
      <w:pPr>
        <w:adjustRightInd w:val="0"/>
        <w:jc w:val="center"/>
        <w:textAlignment w:val="center"/>
        <w:rPr>
          <w:rFonts w:ascii="Bookman Old Style" w:hAnsi="Bookman Old Style" w:cs="Arial"/>
          <w:b/>
          <w:color w:val="000000"/>
          <w:sz w:val="22"/>
          <w:szCs w:val="22"/>
        </w:rPr>
      </w:pPr>
      <w:r w:rsidRPr="004C68F2">
        <w:rPr>
          <w:rFonts w:ascii="Bookman Old Style" w:hAnsi="Bookman Old Style" w:cs="Arial"/>
          <w:b/>
          <w:color w:val="000000"/>
          <w:sz w:val="22"/>
          <w:szCs w:val="22"/>
        </w:rPr>
        <w:t xml:space="preserve">EL CONGRESO DE LA REPÚBLICA </w:t>
      </w:r>
    </w:p>
    <w:p w14:paraId="10ADD229" w14:textId="77777777" w:rsidR="0027337E" w:rsidRPr="004C68F2" w:rsidRDefault="0027337E" w:rsidP="004C68F2">
      <w:pPr>
        <w:adjustRightInd w:val="0"/>
        <w:jc w:val="center"/>
        <w:textAlignment w:val="center"/>
        <w:rPr>
          <w:rFonts w:ascii="Bookman Old Style" w:hAnsi="Bookman Old Style" w:cs="Arial"/>
          <w:b/>
          <w:color w:val="000000"/>
          <w:sz w:val="22"/>
          <w:szCs w:val="22"/>
        </w:rPr>
      </w:pPr>
    </w:p>
    <w:p w14:paraId="77642F2E" w14:textId="77777777" w:rsidR="0027337E" w:rsidRPr="004C68F2" w:rsidRDefault="0027337E" w:rsidP="004C68F2">
      <w:pPr>
        <w:adjustRightInd w:val="0"/>
        <w:jc w:val="center"/>
        <w:textAlignment w:val="center"/>
        <w:rPr>
          <w:rFonts w:ascii="Bookman Old Style" w:hAnsi="Bookman Old Style" w:cs="Arial"/>
          <w:b/>
          <w:color w:val="000000"/>
          <w:sz w:val="22"/>
          <w:szCs w:val="22"/>
        </w:rPr>
      </w:pPr>
      <w:r w:rsidRPr="004C68F2">
        <w:rPr>
          <w:rFonts w:ascii="Bookman Old Style" w:hAnsi="Bookman Old Style" w:cs="Arial"/>
          <w:b/>
          <w:color w:val="000000"/>
          <w:sz w:val="22"/>
          <w:szCs w:val="22"/>
        </w:rPr>
        <w:t>DECRETA:</w:t>
      </w:r>
    </w:p>
    <w:p w14:paraId="6A9FD471" w14:textId="77777777" w:rsidR="00616F28" w:rsidRDefault="00616F28" w:rsidP="00616F28">
      <w:pPr>
        <w:pBdr>
          <w:top w:val="nil"/>
          <w:left w:val="nil"/>
          <w:bottom w:val="nil"/>
          <w:right w:val="nil"/>
          <w:between w:val="nil"/>
        </w:pBdr>
        <w:jc w:val="both"/>
        <w:rPr>
          <w:rFonts w:ascii="Bookman Old Style" w:eastAsia="Bookman Old Style" w:hAnsi="Bookman Old Style" w:cs="Bookman Old Style"/>
          <w:b/>
          <w:color w:val="000000"/>
          <w:sz w:val="22"/>
          <w:szCs w:val="22"/>
        </w:rPr>
      </w:pPr>
    </w:p>
    <w:p w14:paraId="3937E641" w14:textId="34A64B34"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Artículo 1</w:t>
      </w:r>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b/>
          <w:color w:val="000000"/>
          <w:sz w:val="22"/>
          <w:szCs w:val="22"/>
        </w:rPr>
        <w:t>Objeto</w:t>
      </w:r>
      <w:r w:rsidRPr="007D31A4">
        <w:rPr>
          <w:rFonts w:ascii="Bookman Old Style" w:eastAsia="Bookman Old Style" w:hAnsi="Bookman Old Style" w:cs="Bookman Old Style"/>
          <w:color w:val="000000"/>
          <w:sz w:val="22"/>
          <w:szCs w:val="22"/>
        </w:rPr>
        <w:t>. La presente ley tiene por objeto avanzar en el reconocimiento de los animales como seres sintientes, sujetos de una protección constitucional y legal especial, a través de la prohibición de las prácticas taurinas en todo el territorio nacional, como expresiones de maltrato, crueldad y violencia.</w:t>
      </w:r>
    </w:p>
    <w:p w14:paraId="3089199D"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16A87940"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Artículo 2º.</w:t>
      </w:r>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b/>
          <w:color w:val="000000"/>
          <w:sz w:val="22"/>
          <w:szCs w:val="22"/>
        </w:rPr>
        <w:t>Ámbito de aplicación</w:t>
      </w:r>
      <w:r w:rsidRPr="007D31A4">
        <w:rPr>
          <w:rFonts w:ascii="Bookman Old Style" w:eastAsia="Bookman Old Style" w:hAnsi="Bookman Old Style" w:cs="Bookman Old Style"/>
          <w:color w:val="000000"/>
          <w:sz w:val="22"/>
          <w:szCs w:val="22"/>
        </w:rPr>
        <w:t>. Las disposiciones contenidas en la presente ley serán aplicables en todo el territorio nacional.</w:t>
      </w:r>
      <w:r w:rsidRPr="007D31A4">
        <w:rPr>
          <w:rFonts w:ascii="Bookman Old Style" w:eastAsia="Bookman Old Style" w:hAnsi="Bookman Old Style" w:cs="Bookman Old Style"/>
          <w:color w:val="000000"/>
          <w:sz w:val="22"/>
          <w:szCs w:val="22"/>
        </w:rPr>
        <w:tab/>
      </w:r>
    </w:p>
    <w:p w14:paraId="58403E3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33A016D4" w14:textId="77777777" w:rsidR="00616F28" w:rsidRPr="007D31A4" w:rsidRDefault="00616F28" w:rsidP="00616F28">
      <w:pPr>
        <w:jc w:val="both"/>
        <w:rPr>
          <w:sz w:val="22"/>
          <w:szCs w:val="22"/>
        </w:rPr>
      </w:pPr>
      <w:r w:rsidRPr="007D31A4">
        <w:rPr>
          <w:rFonts w:ascii="Bookman Old Style" w:eastAsia="Bookman Old Style" w:hAnsi="Bookman Old Style" w:cs="Bookman Old Style"/>
          <w:b/>
          <w:color w:val="000000"/>
          <w:sz w:val="22"/>
          <w:szCs w:val="22"/>
        </w:rPr>
        <w:t>Artículo 3º</w:t>
      </w:r>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b/>
          <w:color w:val="000000"/>
          <w:sz w:val="22"/>
          <w:szCs w:val="22"/>
        </w:rPr>
        <w:t>Prohibición.</w:t>
      </w:r>
      <w:r w:rsidRPr="007D31A4">
        <w:rPr>
          <w:rFonts w:ascii="Bookman Old Style" w:eastAsia="Bookman Old Style" w:hAnsi="Bookman Old Style" w:cs="Bookman Old Style"/>
          <w:color w:val="000000"/>
          <w:sz w:val="22"/>
          <w:szCs w:val="22"/>
        </w:rPr>
        <w:t xml:space="preserve"> Se prohíbe el desarrollo de las actividades de corridas de toros, novilladas, becerradas y tientas. </w:t>
      </w:r>
    </w:p>
    <w:p w14:paraId="1F98A21A"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p>
    <w:p w14:paraId="3D8F862E"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 xml:space="preserve">Artículo 4.  </w:t>
      </w:r>
      <w:r w:rsidRPr="007D31A4">
        <w:rPr>
          <w:rFonts w:ascii="Bookman Old Style" w:eastAsia="Bookman Old Style" w:hAnsi="Bookman Old Style" w:cs="Bookman Old Style"/>
          <w:color w:val="000000"/>
          <w:sz w:val="22"/>
          <w:szCs w:val="22"/>
        </w:rPr>
        <w:t>El Gobierno Nacional, en el marco de sus competencias, tendrá un plazo de seis (6) meses contados a partir de la expedición de la presente ley para garantizar programas efectivos de reconversión económica de las personas que se dediquen a las actividades de las que trata el artículo 3.</w:t>
      </w:r>
    </w:p>
    <w:p w14:paraId="461B582B" w14:textId="77777777" w:rsidR="00616F28" w:rsidRPr="007D31A4" w:rsidRDefault="00616F28" w:rsidP="00616F28">
      <w:pPr>
        <w:pBdr>
          <w:top w:val="nil"/>
          <w:left w:val="nil"/>
          <w:bottom w:val="nil"/>
          <w:right w:val="nil"/>
          <w:between w:val="nil"/>
        </w:pBd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color w:val="000000"/>
          <w:sz w:val="22"/>
          <w:szCs w:val="22"/>
        </w:rPr>
        <w:t xml:space="preserve"> </w:t>
      </w:r>
    </w:p>
    <w:p w14:paraId="22125213" w14:textId="77777777" w:rsidR="00616F28" w:rsidRPr="007D31A4" w:rsidRDefault="00616F28" w:rsidP="00616F28">
      <w:pPr>
        <w:jc w:val="both"/>
        <w:rPr>
          <w:rFonts w:ascii="Bookman Old Style" w:eastAsia="Bookman Old Style" w:hAnsi="Bookman Old Style" w:cs="Bookman Old Style"/>
          <w:color w:val="000000"/>
          <w:sz w:val="22"/>
          <w:szCs w:val="22"/>
        </w:rPr>
      </w:pPr>
      <w:r w:rsidRPr="007D31A4">
        <w:rPr>
          <w:rFonts w:ascii="Bookman Old Style" w:eastAsia="Bookman Old Style" w:hAnsi="Bookman Old Style" w:cs="Bookman Old Style"/>
          <w:b/>
          <w:color w:val="000000"/>
          <w:sz w:val="22"/>
          <w:szCs w:val="22"/>
        </w:rPr>
        <w:t>Artículo 5º</w:t>
      </w:r>
      <w:r w:rsidRPr="007D31A4">
        <w:rPr>
          <w:rFonts w:ascii="Bookman Old Style" w:eastAsia="Bookman Old Style" w:hAnsi="Bookman Old Style" w:cs="Bookman Old Style"/>
          <w:color w:val="000000"/>
          <w:sz w:val="22"/>
          <w:szCs w:val="22"/>
        </w:rPr>
        <w:t xml:space="preserve">. </w:t>
      </w:r>
      <w:r w:rsidRPr="007D31A4">
        <w:rPr>
          <w:rFonts w:ascii="Bookman Old Style" w:eastAsia="Bookman Old Style" w:hAnsi="Bookman Old Style" w:cs="Bookman Old Style"/>
          <w:b/>
          <w:color w:val="000000"/>
          <w:sz w:val="22"/>
          <w:szCs w:val="22"/>
        </w:rPr>
        <w:t>Vigencia.</w:t>
      </w:r>
      <w:r w:rsidRPr="007D31A4">
        <w:rPr>
          <w:rFonts w:ascii="Bookman Old Style" w:eastAsia="Bookman Old Style" w:hAnsi="Bookman Old Style" w:cs="Bookman Old Style"/>
          <w:color w:val="000000"/>
          <w:sz w:val="22"/>
          <w:szCs w:val="22"/>
        </w:rPr>
        <w:t xml:space="preserve"> La presente ley rige a partir de la fecha de su expedición y deroga la Ley 916 de 2004, Reglamento Nacional Taurino, así como las expresiones “</w:t>
      </w:r>
      <w:r w:rsidRPr="007D31A4">
        <w:rPr>
          <w:rFonts w:ascii="Bookman Old Style" w:eastAsia="Bookman Old Style" w:hAnsi="Bookman Old Style" w:cs="Bookman Old Style"/>
          <w:i/>
          <w:color w:val="000000"/>
          <w:sz w:val="22"/>
          <w:szCs w:val="22"/>
        </w:rPr>
        <w:t xml:space="preserve">corridas de toros, novilladas, becerradas y tientas”, </w:t>
      </w:r>
      <w:r w:rsidRPr="007D31A4">
        <w:rPr>
          <w:rFonts w:ascii="Bookman Old Style" w:eastAsia="Bookman Old Style" w:hAnsi="Bookman Old Style" w:cs="Bookman Old Style"/>
          <w:color w:val="000000"/>
          <w:sz w:val="22"/>
          <w:szCs w:val="22"/>
        </w:rPr>
        <w:t>contenidas en el artículo 7 de la Ley 84 de 1989.</w:t>
      </w:r>
    </w:p>
    <w:p w14:paraId="5972FD92" w14:textId="77777777" w:rsidR="0027337E" w:rsidRPr="00616F28" w:rsidRDefault="0027337E" w:rsidP="004C68F2">
      <w:pPr>
        <w:adjustRightInd w:val="0"/>
        <w:jc w:val="both"/>
        <w:textAlignment w:val="center"/>
        <w:rPr>
          <w:rFonts w:ascii="Bookman Old Style" w:hAnsi="Bookman Old Style" w:cs="Arial"/>
          <w:b/>
          <w:sz w:val="22"/>
          <w:szCs w:val="22"/>
        </w:rPr>
      </w:pPr>
    </w:p>
    <w:p w14:paraId="34F8B689" w14:textId="77777777" w:rsidR="00616F28" w:rsidRDefault="00616F28" w:rsidP="004C68F2">
      <w:pPr>
        <w:jc w:val="both"/>
        <w:rPr>
          <w:rFonts w:ascii="Bookman Old Style" w:hAnsi="Bookman Old Style" w:cs="Arial"/>
          <w:sz w:val="22"/>
          <w:szCs w:val="22"/>
        </w:rPr>
      </w:pPr>
    </w:p>
    <w:p w14:paraId="664483E6" w14:textId="77777777" w:rsidR="00616F28" w:rsidRDefault="00616F28" w:rsidP="004C68F2">
      <w:pPr>
        <w:jc w:val="both"/>
        <w:rPr>
          <w:rFonts w:ascii="Bookman Old Style" w:hAnsi="Bookman Old Style" w:cs="Arial"/>
          <w:sz w:val="22"/>
          <w:szCs w:val="22"/>
        </w:rPr>
      </w:pPr>
    </w:p>
    <w:p w14:paraId="59E6C213" w14:textId="447F64A2" w:rsidR="0027337E" w:rsidRPr="004C68F2" w:rsidRDefault="0027337E" w:rsidP="004C68F2">
      <w:pPr>
        <w:jc w:val="both"/>
        <w:rPr>
          <w:rFonts w:ascii="Bookman Old Style" w:hAnsi="Bookman Old Style" w:cs="Arial"/>
          <w:sz w:val="22"/>
          <w:szCs w:val="22"/>
        </w:rPr>
      </w:pPr>
      <w:r w:rsidRPr="004C68F2">
        <w:rPr>
          <w:rFonts w:ascii="Bookman Old Style" w:hAnsi="Bookman Old Style" w:cs="Arial"/>
          <w:sz w:val="22"/>
          <w:szCs w:val="22"/>
        </w:rPr>
        <w:t>Cordialmente,</w:t>
      </w:r>
    </w:p>
    <w:p w14:paraId="04B0415A" w14:textId="77777777" w:rsidR="0027337E" w:rsidRPr="004C68F2" w:rsidRDefault="0027337E" w:rsidP="004C68F2">
      <w:pPr>
        <w:jc w:val="both"/>
        <w:rPr>
          <w:rFonts w:ascii="Bookman Old Style" w:hAnsi="Bookman Old Style" w:cs="Arial"/>
          <w:sz w:val="22"/>
          <w:szCs w:val="22"/>
        </w:rPr>
      </w:pPr>
    </w:p>
    <w:p w14:paraId="78C7C321" w14:textId="77777777" w:rsidR="0027337E" w:rsidRPr="004C68F2" w:rsidRDefault="0027337E" w:rsidP="004C68F2">
      <w:pPr>
        <w:jc w:val="both"/>
        <w:rPr>
          <w:rFonts w:ascii="Bookman Old Style" w:hAnsi="Bookman Old Style" w:cs="Arial"/>
          <w:sz w:val="22"/>
          <w:szCs w:val="22"/>
        </w:rPr>
      </w:pPr>
    </w:p>
    <w:p w14:paraId="2295B3FD" w14:textId="77777777" w:rsidR="0027337E" w:rsidRPr="004C68F2" w:rsidRDefault="0027337E" w:rsidP="004C68F2">
      <w:pPr>
        <w:jc w:val="both"/>
        <w:rPr>
          <w:rFonts w:ascii="Bookman Old Style" w:hAnsi="Bookman Old Style" w:cs="Arial"/>
          <w:sz w:val="22"/>
          <w:szCs w:val="22"/>
        </w:rPr>
      </w:pPr>
    </w:p>
    <w:tbl>
      <w:tblPr>
        <w:tblW w:w="8642" w:type="dxa"/>
        <w:tblLook w:val="04A0" w:firstRow="1" w:lastRow="0" w:firstColumn="1" w:lastColumn="0" w:noHBand="0" w:noVBand="1"/>
      </w:tblPr>
      <w:tblGrid>
        <w:gridCol w:w="4321"/>
        <w:gridCol w:w="4321"/>
      </w:tblGrid>
      <w:tr w:rsidR="00DB3663" w:rsidRPr="004C68F2" w14:paraId="1DA9CD46" w14:textId="77777777" w:rsidTr="004C68F2">
        <w:trPr>
          <w:trHeight w:val="1112"/>
        </w:trPr>
        <w:tc>
          <w:tcPr>
            <w:tcW w:w="4321" w:type="dxa"/>
          </w:tcPr>
          <w:p w14:paraId="6426B312" w14:textId="77777777" w:rsidR="00DB3663" w:rsidRPr="004C68F2" w:rsidRDefault="00DB3663" w:rsidP="00DB3663">
            <w:pPr>
              <w:jc w:val="center"/>
              <w:rPr>
                <w:rFonts w:ascii="Bookman Old Style" w:hAnsi="Bookman Old Style" w:cs="Arial"/>
              </w:rPr>
            </w:pPr>
          </w:p>
          <w:p w14:paraId="3BB0A24A" w14:textId="77777777" w:rsidR="00DB3663" w:rsidRPr="004C68F2" w:rsidRDefault="00DB3663" w:rsidP="00DB3663">
            <w:pPr>
              <w:jc w:val="center"/>
              <w:rPr>
                <w:rFonts w:ascii="Bookman Old Style" w:hAnsi="Bookman Old Style" w:cs="Arial"/>
              </w:rPr>
            </w:pPr>
          </w:p>
          <w:p w14:paraId="024EC82E" w14:textId="77777777" w:rsidR="00DB3663" w:rsidRPr="004C68F2" w:rsidRDefault="00DB3663" w:rsidP="00DB3663">
            <w:pPr>
              <w:jc w:val="center"/>
              <w:rPr>
                <w:rFonts w:ascii="Bookman Old Style" w:hAnsi="Bookman Old Style" w:cs="Arial"/>
              </w:rPr>
            </w:pPr>
          </w:p>
          <w:p w14:paraId="23623147" w14:textId="77777777" w:rsidR="00DB3663" w:rsidRPr="004C68F2" w:rsidRDefault="00DB3663" w:rsidP="00DB3663">
            <w:pPr>
              <w:jc w:val="center"/>
              <w:rPr>
                <w:rFonts w:ascii="Bookman Old Style" w:hAnsi="Bookman Old Style" w:cs="Arial"/>
              </w:rPr>
            </w:pPr>
          </w:p>
          <w:p w14:paraId="09093CDA" w14:textId="77777777" w:rsidR="00DB3663" w:rsidRPr="004C68F2" w:rsidRDefault="00DB3663" w:rsidP="00DB3663">
            <w:pPr>
              <w:pStyle w:val="Sinespaciado"/>
              <w:tabs>
                <w:tab w:val="left" w:pos="8055"/>
              </w:tabs>
              <w:jc w:val="center"/>
              <w:rPr>
                <w:rFonts w:ascii="Bookman Old Style" w:hAnsi="Bookman Old Style" w:cs="Arial"/>
                <w:b/>
              </w:rPr>
            </w:pPr>
            <w:r w:rsidRPr="004C68F2">
              <w:rPr>
                <w:rFonts w:ascii="Bookman Old Style" w:hAnsi="Bookman Old Style" w:cs="Arial"/>
                <w:b/>
              </w:rPr>
              <w:t>JUAN CARLOS LOZADA VARGAS</w:t>
            </w:r>
          </w:p>
          <w:p w14:paraId="42702953"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63EE1C7B"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Coordinador Ponente</w:t>
            </w:r>
          </w:p>
          <w:p w14:paraId="40C797E4" w14:textId="77777777" w:rsidR="00DB3663" w:rsidRPr="004C68F2" w:rsidRDefault="00DB3663" w:rsidP="00DB3663">
            <w:pPr>
              <w:pStyle w:val="Sinespaciado"/>
              <w:tabs>
                <w:tab w:val="left" w:pos="8055"/>
              </w:tabs>
              <w:jc w:val="center"/>
              <w:rPr>
                <w:rFonts w:ascii="Bookman Old Style" w:hAnsi="Bookman Old Style" w:cs="Arial"/>
              </w:rPr>
            </w:pPr>
          </w:p>
        </w:tc>
        <w:tc>
          <w:tcPr>
            <w:tcW w:w="4321" w:type="dxa"/>
          </w:tcPr>
          <w:p w14:paraId="1F2B860C" w14:textId="77777777" w:rsidR="00DB3663" w:rsidRPr="004C68F2" w:rsidRDefault="00DB3663" w:rsidP="00DB3663">
            <w:pPr>
              <w:jc w:val="center"/>
              <w:rPr>
                <w:rFonts w:ascii="Bookman Old Style" w:hAnsi="Bookman Old Style" w:cs="Arial"/>
              </w:rPr>
            </w:pPr>
          </w:p>
          <w:p w14:paraId="63C245A9" w14:textId="77777777" w:rsidR="00DB3663" w:rsidRPr="004C68F2" w:rsidRDefault="00DB3663" w:rsidP="00DB3663">
            <w:pPr>
              <w:jc w:val="center"/>
              <w:rPr>
                <w:rFonts w:ascii="Bookman Old Style" w:hAnsi="Bookman Old Style" w:cs="Arial"/>
              </w:rPr>
            </w:pPr>
          </w:p>
          <w:p w14:paraId="225BB079" w14:textId="77777777" w:rsidR="00DB3663" w:rsidRDefault="00DB3663" w:rsidP="00DB3663">
            <w:pPr>
              <w:pStyle w:val="Sinespaciado"/>
              <w:tabs>
                <w:tab w:val="left" w:pos="8055"/>
              </w:tabs>
              <w:jc w:val="center"/>
              <w:rPr>
                <w:rFonts w:ascii="Bookman Old Style" w:hAnsi="Bookman Old Style" w:cs="Arial"/>
                <w:b/>
              </w:rPr>
            </w:pPr>
          </w:p>
          <w:p w14:paraId="08796FD9" w14:textId="77777777" w:rsidR="00DB3663" w:rsidRDefault="00DB3663" w:rsidP="00DB3663">
            <w:pPr>
              <w:pStyle w:val="Sinespaciado"/>
              <w:tabs>
                <w:tab w:val="left" w:pos="8055"/>
              </w:tabs>
              <w:jc w:val="center"/>
              <w:rPr>
                <w:rFonts w:ascii="Bookman Old Style" w:hAnsi="Bookman Old Style" w:cs="Arial"/>
                <w:b/>
              </w:rPr>
            </w:pPr>
          </w:p>
          <w:p w14:paraId="2EF7534A" w14:textId="328DE43B"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b/>
              </w:rPr>
              <w:t>JOSE DANIEL LOPEZ JIMENEZ</w:t>
            </w:r>
          </w:p>
          <w:p w14:paraId="61431120"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64F4F142" w14:textId="77777777" w:rsidR="00DB3663" w:rsidRPr="004C68F2" w:rsidRDefault="00DB3663" w:rsidP="00DB3663">
            <w:pPr>
              <w:pStyle w:val="Sinespaciado"/>
              <w:tabs>
                <w:tab w:val="left" w:pos="8055"/>
              </w:tabs>
              <w:jc w:val="center"/>
              <w:rPr>
                <w:rFonts w:ascii="Bookman Old Style" w:hAnsi="Bookman Old Style" w:cs="Arial"/>
              </w:rPr>
            </w:pPr>
            <w:r>
              <w:rPr>
                <w:rFonts w:ascii="Bookman Old Style" w:hAnsi="Bookman Old Style" w:cs="Arial"/>
              </w:rPr>
              <w:t xml:space="preserve">Coordinador </w:t>
            </w:r>
            <w:r w:rsidRPr="004C68F2">
              <w:rPr>
                <w:rFonts w:ascii="Bookman Old Style" w:hAnsi="Bookman Old Style" w:cs="Arial"/>
              </w:rPr>
              <w:t>Ponente</w:t>
            </w:r>
          </w:p>
          <w:p w14:paraId="5528EA1A" w14:textId="48AC9060" w:rsidR="00DB3663" w:rsidRPr="004C68F2" w:rsidRDefault="00DB3663" w:rsidP="00DB3663">
            <w:pPr>
              <w:pStyle w:val="Sinespaciado"/>
              <w:tabs>
                <w:tab w:val="left" w:pos="8055"/>
              </w:tabs>
              <w:jc w:val="center"/>
              <w:rPr>
                <w:rFonts w:ascii="Bookman Old Style" w:hAnsi="Bookman Old Style" w:cs="Arial"/>
              </w:rPr>
            </w:pPr>
          </w:p>
        </w:tc>
      </w:tr>
      <w:tr w:rsidR="00DB3663" w:rsidRPr="004C68F2" w14:paraId="45B59E4C" w14:textId="77777777" w:rsidTr="004C68F2">
        <w:trPr>
          <w:trHeight w:val="843"/>
        </w:trPr>
        <w:tc>
          <w:tcPr>
            <w:tcW w:w="4321" w:type="dxa"/>
          </w:tcPr>
          <w:p w14:paraId="70274811" w14:textId="77777777" w:rsidR="00DB3663" w:rsidRPr="004C68F2" w:rsidRDefault="00DB3663" w:rsidP="00DB3663">
            <w:pPr>
              <w:jc w:val="center"/>
              <w:rPr>
                <w:rFonts w:ascii="Bookman Old Style" w:hAnsi="Bookman Old Style" w:cs="Arial"/>
              </w:rPr>
            </w:pPr>
          </w:p>
          <w:p w14:paraId="2E04B414" w14:textId="77777777" w:rsidR="00DB3663" w:rsidRPr="004C68F2" w:rsidRDefault="00DB3663" w:rsidP="00DB3663">
            <w:pPr>
              <w:jc w:val="center"/>
              <w:rPr>
                <w:rFonts w:ascii="Bookman Old Style" w:hAnsi="Bookman Old Style" w:cs="Arial"/>
              </w:rPr>
            </w:pPr>
          </w:p>
          <w:p w14:paraId="057D3F82" w14:textId="77777777" w:rsidR="00DB3663" w:rsidRPr="004C68F2" w:rsidRDefault="00DB3663" w:rsidP="00DB3663">
            <w:pPr>
              <w:jc w:val="center"/>
              <w:rPr>
                <w:rFonts w:ascii="Bookman Old Style" w:hAnsi="Bookman Old Style" w:cs="Arial"/>
              </w:rPr>
            </w:pPr>
          </w:p>
          <w:p w14:paraId="30FA0258" w14:textId="77777777" w:rsidR="00DB3663" w:rsidRDefault="00DB3663" w:rsidP="00DB3663">
            <w:pPr>
              <w:pStyle w:val="Sinespaciado"/>
              <w:tabs>
                <w:tab w:val="left" w:pos="8055"/>
              </w:tabs>
              <w:rPr>
                <w:rFonts w:ascii="Bookman Old Style" w:hAnsi="Bookman Old Style" w:cs="Arial"/>
                <w:b/>
              </w:rPr>
            </w:pPr>
          </w:p>
          <w:p w14:paraId="0238B294" w14:textId="77777777" w:rsidR="00DB3663" w:rsidRDefault="00DB3663" w:rsidP="00DB3663">
            <w:pPr>
              <w:pStyle w:val="Sinespaciado"/>
              <w:tabs>
                <w:tab w:val="left" w:pos="8055"/>
              </w:tabs>
              <w:jc w:val="center"/>
              <w:rPr>
                <w:rFonts w:ascii="Bookman Old Style" w:hAnsi="Bookman Old Style" w:cs="Arial"/>
                <w:b/>
              </w:rPr>
            </w:pPr>
          </w:p>
          <w:p w14:paraId="54278B9D" w14:textId="77777777" w:rsidR="00DB3663" w:rsidRPr="004C68F2" w:rsidRDefault="00DB3663" w:rsidP="00DB3663">
            <w:pPr>
              <w:pStyle w:val="Sinespaciado"/>
              <w:tabs>
                <w:tab w:val="left" w:pos="8055"/>
              </w:tabs>
              <w:jc w:val="center"/>
              <w:rPr>
                <w:rFonts w:ascii="Bookman Old Style" w:hAnsi="Bookman Old Style" w:cs="Arial"/>
                <w:b/>
              </w:rPr>
            </w:pPr>
            <w:r>
              <w:rPr>
                <w:rFonts w:ascii="Bookman Old Style" w:hAnsi="Bookman Old Style" w:cs="Arial"/>
                <w:b/>
              </w:rPr>
              <w:t>INTI RAUL ASPRILLA REYES</w:t>
            </w:r>
          </w:p>
          <w:p w14:paraId="0C23FA8E"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29427F66" w14:textId="5B4FCF02" w:rsidR="00DB3663" w:rsidRPr="004C68F2" w:rsidRDefault="00DB3663" w:rsidP="00DB3663">
            <w:pPr>
              <w:jc w:val="center"/>
              <w:rPr>
                <w:rFonts w:ascii="Bookman Old Style" w:hAnsi="Bookman Old Style" w:cs="Arial"/>
              </w:rPr>
            </w:pPr>
            <w:r w:rsidRPr="004C68F2">
              <w:rPr>
                <w:rFonts w:ascii="Bookman Old Style" w:hAnsi="Bookman Old Style" w:cs="Arial"/>
              </w:rPr>
              <w:t>Coordinador Ponente</w:t>
            </w:r>
          </w:p>
        </w:tc>
        <w:tc>
          <w:tcPr>
            <w:tcW w:w="4321" w:type="dxa"/>
          </w:tcPr>
          <w:p w14:paraId="637BC781" w14:textId="77777777" w:rsidR="00DB3663" w:rsidRPr="004C68F2" w:rsidRDefault="00DB3663" w:rsidP="00DB3663">
            <w:pPr>
              <w:pStyle w:val="Sinespaciado"/>
              <w:tabs>
                <w:tab w:val="left" w:pos="8055"/>
              </w:tabs>
              <w:jc w:val="center"/>
              <w:rPr>
                <w:rFonts w:ascii="Bookman Old Style" w:hAnsi="Bookman Old Style" w:cs="Arial"/>
                <w:b/>
              </w:rPr>
            </w:pPr>
          </w:p>
          <w:p w14:paraId="1EA19BDF" w14:textId="77777777" w:rsidR="00DB3663" w:rsidRPr="004C68F2" w:rsidRDefault="00DB3663" w:rsidP="00DB3663">
            <w:pPr>
              <w:pStyle w:val="Sinespaciado"/>
              <w:tabs>
                <w:tab w:val="left" w:pos="8055"/>
              </w:tabs>
              <w:jc w:val="center"/>
              <w:rPr>
                <w:rFonts w:ascii="Bookman Old Style" w:hAnsi="Bookman Old Style" w:cs="Arial"/>
                <w:b/>
              </w:rPr>
            </w:pPr>
          </w:p>
          <w:p w14:paraId="38E58517" w14:textId="77777777" w:rsidR="00DB3663" w:rsidRPr="004C68F2" w:rsidRDefault="00DB3663" w:rsidP="00DB3663">
            <w:pPr>
              <w:pStyle w:val="Sinespaciado"/>
              <w:tabs>
                <w:tab w:val="left" w:pos="8055"/>
              </w:tabs>
              <w:jc w:val="center"/>
              <w:rPr>
                <w:rFonts w:ascii="Bookman Old Style" w:hAnsi="Bookman Old Style" w:cs="Arial"/>
                <w:b/>
              </w:rPr>
            </w:pPr>
          </w:p>
          <w:p w14:paraId="582F9D58" w14:textId="77777777" w:rsidR="00DB3663" w:rsidRDefault="00DB3663" w:rsidP="00DB3663">
            <w:pPr>
              <w:pStyle w:val="Sinespaciado"/>
              <w:tabs>
                <w:tab w:val="left" w:pos="8055"/>
              </w:tabs>
              <w:rPr>
                <w:rFonts w:ascii="Bookman Old Style" w:hAnsi="Bookman Old Style" w:cs="Arial"/>
                <w:b/>
              </w:rPr>
            </w:pPr>
          </w:p>
          <w:p w14:paraId="35B41894" w14:textId="77777777" w:rsidR="00DB3663" w:rsidRDefault="00DB3663" w:rsidP="00DB3663">
            <w:pPr>
              <w:pStyle w:val="Sinespaciado"/>
              <w:tabs>
                <w:tab w:val="left" w:pos="8055"/>
              </w:tabs>
              <w:jc w:val="center"/>
              <w:rPr>
                <w:rFonts w:ascii="Bookman Old Style" w:hAnsi="Bookman Old Style" w:cs="Arial"/>
                <w:b/>
              </w:rPr>
            </w:pPr>
          </w:p>
          <w:p w14:paraId="591FB6E9"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b/>
              </w:rPr>
              <w:t>LUIS ALBERTO ALBAN URBANO</w:t>
            </w:r>
          </w:p>
          <w:p w14:paraId="30B8FDFC"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43F47142"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21794E17" w14:textId="77777777" w:rsidR="00DB3663" w:rsidRPr="004C68F2" w:rsidRDefault="00DB3663" w:rsidP="00DB3663">
            <w:pPr>
              <w:jc w:val="center"/>
              <w:rPr>
                <w:rFonts w:ascii="Bookman Old Style" w:hAnsi="Bookman Old Style" w:cs="Arial"/>
              </w:rPr>
            </w:pPr>
          </w:p>
        </w:tc>
      </w:tr>
      <w:tr w:rsidR="00DB3663" w:rsidRPr="004C68F2" w14:paraId="36FD8BE3" w14:textId="77777777" w:rsidTr="004C68F2">
        <w:trPr>
          <w:trHeight w:val="127"/>
        </w:trPr>
        <w:tc>
          <w:tcPr>
            <w:tcW w:w="4321" w:type="dxa"/>
          </w:tcPr>
          <w:p w14:paraId="1E520882" w14:textId="77777777" w:rsidR="00DB3663" w:rsidRPr="004C68F2" w:rsidRDefault="00DB3663" w:rsidP="00DB3663">
            <w:pPr>
              <w:jc w:val="center"/>
              <w:rPr>
                <w:rFonts w:ascii="Bookman Old Style" w:hAnsi="Bookman Old Style" w:cs="Arial"/>
              </w:rPr>
            </w:pPr>
          </w:p>
          <w:p w14:paraId="4C1D1820" w14:textId="77777777" w:rsidR="00DB3663" w:rsidRPr="004C68F2" w:rsidRDefault="00DB3663" w:rsidP="00DB3663">
            <w:pPr>
              <w:jc w:val="center"/>
              <w:rPr>
                <w:rFonts w:ascii="Bookman Old Style" w:hAnsi="Bookman Old Style" w:cs="Arial"/>
              </w:rPr>
            </w:pPr>
          </w:p>
          <w:p w14:paraId="1333669C" w14:textId="77777777" w:rsidR="00DB3663" w:rsidRPr="004C68F2" w:rsidRDefault="00DB3663" w:rsidP="00DB3663">
            <w:pPr>
              <w:jc w:val="center"/>
              <w:rPr>
                <w:rFonts w:ascii="Bookman Old Style" w:hAnsi="Bookman Old Style" w:cs="Arial"/>
              </w:rPr>
            </w:pPr>
          </w:p>
          <w:p w14:paraId="35F42020" w14:textId="77777777" w:rsidR="00DB3663" w:rsidRPr="004C68F2" w:rsidRDefault="00DB3663" w:rsidP="00DB3663">
            <w:pPr>
              <w:jc w:val="center"/>
              <w:rPr>
                <w:rFonts w:ascii="Bookman Old Style" w:hAnsi="Bookman Old Style" w:cs="Arial"/>
              </w:rPr>
            </w:pPr>
          </w:p>
          <w:p w14:paraId="718140F7" w14:textId="77777777" w:rsidR="00DB3663" w:rsidRPr="004C68F2" w:rsidRDefault="00DB3663" w:rsidP="00DB3663">
            <w:pPr>
              <w:pStyle w:val="Sinespaciado"/>
              <w:tabs>
                <w:tab w:val="left" w:pos="8055"/>
              </w:tabs>
              <w:jc w:val="center"/>
              <w:rPr>
                <w:rFonts w:ascii="Bookman Old Style" w:hAnsi="Bookman Old Style" w:cs="Arial"/>
              </w:rPr>
            </w:pPr>
            <w:r>
              <w:rPr>
                <w:rFonts w:ascii="Bookman Old Style" w:hAnsi="Bookman Old Style" w:cs="Arial"/>
                <w:b/>
              </w:rPr>
              <w:t>JUAN CARLOS WILLS OSPINA</w:t>
            </w:r>
          </w:p>
          <w:p w14:paraId="06A63FAA"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32E52105"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07EF9897" w14:textId="77777777" w:rsidR="00DB3663" w:rsidRPr="004C68F2" w:rsidRDefault="00DB3663" w:rsidP="00DB3663">
            <w:pPr>
              <w:jc w:val="center"/>
              <w:rPr>
                <w:rFonts w:ascii="Bookman Old Style" w:hAnsi="Bookman Old Style" w:cs="Arial"/>
              </w:rPr>
            </w:pPr>
          </w:p>
        </w:tc>
        <w:tc>
          <w:tcPr>
            <w:tcW w:w="4321" w:type="dxa"/>
          </w:tcPr>
          <w:p w14:paraId="13A9BA1C" w14:textId="77777777" w:rsidR="00DB3663" w:rsidRPr="004C68F2" w:rsidRDefault="00DB3663" w:rsidP="00DB3663">
            <w:pPr>
              <w:jc w:val="center"/>
              <w:rPr>
                <w:rFonts w:ascii="Bookman Old Style" w:hAnsi="Bookman Old Style" w:cs="Arial"/>
              </w:rPr>
            </w:pPr>
          </w:p>
          <w:p w14:paraId="7155826F" w14:textId="77777777" w:rsidR="00DB3663" w:rsidRPr="004C68F2" w:rsidRDefault="00DB3663" w:rsidP="00DB3663">
            <w:pPr>
              <w:jc w:val="center"/>
              <w:rPr>
                <w:rFonts w:ascii="Bookman Old Style" w:hAnsi="Bookman Old Style" w:cs="Arial"/>
              </w:rPr>
            </w:pPr>
          </w:p>
          <w:p w14:paraId="7879DA5A" w14:textId="77777777" w:rsidR="00DB3663" w:rsidRPr="004C68F2" w:rsidRDefault="00DB3663" w:rsidP="00DB3663">
            <w:pPr>
              <w:jc w:val="center"/>
              <w:rPr>
                <w:rFonts w:ascii="Bookman Old Style" w:hAnsi="Bookman Old Style" w:cs="Arial"/>
              </w:rPr>
            </w:pPr>
          </w:p>
          <w:p w14:paraId="75BA9C9D" w14:textId="77777777" w:rsidR="00DB3663" w:rsidRPr="004C68F2" w:rsidRDefault="00DB3663" w:rsidP="00DB3663">
            <w:pPr>
              <w:jc w:val="center"/>
              <w:rPr>
                <w:rFonts w:ascii="Bookman Old Style" w:hAnsi="Bookman Old Style" w:cs="Arial"/>
              </w:rPr>
            </w:pPr>
          </w:p>
          <w:p w14:paraId="13171EDC" w14:textId="77777777" w:rsidR="00DB3663" w:rsidRPr="004C68F2" w:rsidRDefault="00DB3663" w:rsidP="00DB3663">
            <w:pPr>
              <w:pStyle w:val="Sinespaciado"/>
              <w:tabs>
                <w:tab w:val="left" w:pos="8055"/>
              </w:tabs>
              <w:jc w:val="center"/>
              <w:rPr>
                <w:rFonts w:ascii="Bookman Old Style" w:hAnsi="Bookman Old Style" w:cs="Arial"/>
              </w:rPr>
            </w:pPr>
            <w:r>
              <w:rPr>
                <w:rFonts w:ascii="Bookman Old Style" w:hAnsi="Bookman Old Style" w:cs="Arial"/>
                <w:b/>
              </w:rPr>
              <w:t>JUAN MANUEL DAZA IGUARÁN</w:t>
            </w:r>
          </w:p>
          <w:p w14:paraId="7907A015"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34952E61"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72E7859B" w14:textId="77777777" w:rsidR="00DB3663" w:rsidRPr="004C68F2" w:rsidRDefault="00DB3663" w:rsidP="00DB3663">
            <w:pPr>
              <w:jc w:val="center"/>
              <w:rPr>
                <w:rFonts w:ascii="Bookman Old Style" w:hAnsi="Bookman Old Style" w:cs="Arial"/>
              </w:rPr>
            </w:pPr>
          </w:p>
        </w:tc>
      </w:tr>
      <w:tr w:rsidR="00DB3663" w:rsidRPr="004C68F2" w14:paraId="495D7621" w14:textId="77777777" w:rsidTr="004C68F2">
        <w:trPr>
          <w:trHeight w:val="475"/>
        </w:trPr>
        <w:tc>
          <w:tcPr>
            <w:tcW w:w="4321" w:type="dxa"/>
          </w:tcPr>
          <w:p w14:paraId="1B308281" w14:textId="77777777" w:rsidR="00DB3663" w:rsidRPr="004C68F2" w:rsidRDefault="00DB3663" w:rsidP="00DB3663">
            <w:pPr>
              <w:jc w:val="center"/>
              <w:rPr>
                <w:rFonts w:ascii="Bookman Old Style" w:hAnsi="Bookman Old Style" w:cs="Arial"/>
              </w:rPr>
            </w:pPr>
          </w:p>
          <w:p w14:paraId="2F0B3F7E" w14:textId="77777777" w:rsidR="00DB3663" w:rsidRPr="004C68F2" w:rsidRDefault="00DB3663" w:rsidP="00DB3663">
            <w:pPr>
              <w:jc w:val="center"/>
              <w:rPr>
                <w:rFonts w:ascii="Bookman Old Style" w:hAnsi="Bookman Old Style" w:cs="Arial"/>
              </w:rPr>
            </w:pPr>
          </w:p>
          <w:p w14:paraId="5D8F9A31" w14:textId="77777777" w:rsidR="00DB3663" w:rsidRPr="004C68F2" w:rsidRDefault="00DB3663" w:rsidP="00DB3663">
            <w:pPr>
              <w:jc w:val="center"/>
              <w:rPr>
                <w:rFonts w:ascii="Bookman Old Style" w:hAnsi="Bookman Old Style" w:cs="Arial"/>
              </w:rPr>
            </w:pPr>
          </w:p>
          <w:p w14:paraId="691B2656" w14:textId="77777777" w:rsidR="00DB3663" w:rsidRPr="004C68F2" w:rsidRDefault="00DB3663" w:rsidP="00DB3663">
            <w:pPr>
              <w:jc w:val="center"/>
              <w:rPr>
                <w:rFonts w:ascii="Bookman Old Style" w:hAnsi="Bookman Old Style" w:cs="Arial"/>
              </w:rPr>
            </w:pPr>
          </w:p>
          <w:p w14:paraId="519A9798" w14:textId="77777777" w:rsidR="00DB3663" w:rsidRPr="004C68F2" w:rsidRDefault="00DB3663" w:rsidP="00DB3663">
            <w:pPr>
              <w:pStyle w:val="Sinespaciado"/>
              <w:tabs>
                <w:tab w:val="left" w:pos="8055"/>
              </w:tabs>
              <w:jc w:val="center"/>
              <w:rPr>
                <w:rFonts w:ascii="Bookman Old Style" w:hAnsi="Bookman Old Style" w:cs="Arial"/>
                <w:b/>
              </w:rPr>
            </w:pPr>
            <w:r w:rsidRPr="004C68F2">
              <w:rPr>
                <w:rFonts w:ascii="Bookman Old Style" w:hAnsi="Bookman Old Style" w:cs="Arial"/>
                <w:b/>
              </w:rPr>
              <w:t>CARLOS GERMAN NAVAS TALERO</w:t>
            </w:r>
          </w:p>
          <w:p w14:paraId="32B680B4"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1E74551B"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6915A404" w14:textId="77777777" w:rsidR="00DB3663" w:rsidRPr="004C68F2" w:rsidRDefault="00DB3663" w:rsidP="00DB3663">
            <w:pPr>
              <w:jc w:val="center"/>
              <w:rPr>
                <w:rFonts w:ascii="Bookman Old Style" w:hAnsi="Bookman Old Style" w:cs="Arial"/>
              </w:rPr>
            </w:pPr>
          </w:p>
        </w:tc>
        <w:tc>
          <w:tcPr>
            <w:tcW w:w="4321" w:type="dxa"/>
          </w:tcPr>
          <w:p w14:paraId="5A2116AE" w14:textId="77777777" w:rsidR="00DB3663" w:rsidRPr="004C68F2" w:rsidRDefault="00DB3663" w:rsidP="00DB3663">
            <w:pPr>
              <w:jc w:val="center"/>
              <w:rPr>
                <w:rFonts w:ascii="Bookman Old Style" w:hAnsi="Bookman Old Style" w:cs="Arial"/>
              </w:rPr>
            </w:pPr>
          </w:p>
          <w:p w14:paraId="426FEA13" w14:textId="77777777" w:rsidR="00DB3663" w:rsidRPr="004C68F2" w:rsidRDefault="00DB3663" w:rsidP="00DB3663">
            <w:pPr>
              <w:jc w:val="center"/>
              <w:rPr>
                <w:rFonts w:ascii="Bookman Old Style" w:hAnsi="Bookman Old Style" w:cs="Arial"/>
              </w:rPr>
            </w:pPr>
          </w:p>
          <w:p w14:paraId="5A73C513" w14:textId="77777777" w:rsidR="00DB3663" w:rsidRPr="004C68F2" w:rsidRDefault="00DB3663" w:rsidP="00DB3663">
            <w:pPr>
              <w:jc w:val="center"/>
              <w:rPr>
                <w:rFonts w:ascii="Bookman Old Style" w:hAnsi="Bookman Old Style" w:cs="Arial"/>
              </w:rPr>
            </w:pPr>
          </w:p>
          <w:p w14:paraId="265C5281" w14:textId="77777777" w:rsidR="00DB3663" w:rsidRPr="004C68F2" w:rsidRDefault="00DB3663" w:rsidP="00DB3663">
            <w:pPr>
              <w:jc w:val="center"/>
              <w:rPr>
                <w:rFonts w:ascii="Bookman Old Style" w:hAnsi="Bookman Old Style" w:cs="Arial"/>
              </w:rPr>
            </w:pPr>
          </w:p>
          <w:p w14:paraId="3ED5E838" w14:textId="77777777" w:rsidR="00DB3663" w:rsidRPr="004C68F2" w:rsidRDefault="00DB3663" w:rsidP="00DB3663">
            <w:pPr>
              <w:pStyle w:val="Sinespaciado"/>
              <w:tabs>
                <w:tab w:val="left" w:pos="8055"/>
              </w:tabs>
              <w:jc w:val="center"/>
              <w:rPr>
                <w:rFonts w:ascii="Bookman Old Style" w:hAnsi="Bookman Old Style" w:cs="Arial"/>
                <w:b/>
              </w:rPr>
            </w:pPr>
            <w:r w:rsidRPr="004C68F2">
              <w:rPr>
                <w:rFonts w:ascii="Bookman Old Style" w:hAnsi="Bookman Old Style" w:cs="Arial"/>
                <w:b/>
              </w:rPr>
              <w:t>ÁNGELA MARÍA ROBLEDO GOMEZ</w:t>
            </w:r>
          </w:p>
          <w:p w14:paraId="2F3A7F84"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723AB641"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Ponente</w:t>
            </w:r>
          </w:p>
          <w:p w14:paraId="71D9BE11" w14:textId="77777777" w:rsidR="00DB3663" w:rsidRPr="004C68F2" w:rsidRDefault="00DB3663" w:rsidP="00DB3663">
            <w:pPr>
              <w:jc w:val="center"/>
              <w:rPr>
                <w:rFonts w:ascii="Bookman Old Style" w:hAnsi="Bookman Old Style" w:cs="Arial"/>
              </w:rPr>
            </w:pPr>
          </w:p>
        </w:tc>
      </w:tr>
      <w:tr w:rsidR="00DB3663" w:rsidRPr="004C68F2" w14:paraId="13A7ED43" w14:textId="77777777" w:rsidTr="004C68F2">
        <w:trPr>
          <w:trHeight w:val="467"/>
        </w:trPr>
        <w:tc>
          <w:tcPr>
            <w:tcW w:w="4321" w:type="dxa"/>
          </w:tcPr>
          <w:p w14:paraId="6FF1ACDF" w14:textId="77777777" w:rsidR="00DB3663" w:rsidRPr="004C68F2" w:rsidRDefault="00DB3663" w:rsidP="00DB3663">
            <w:pPr>
              <w:jc w:val="center"/>
              <w:rPr>
                <w:rFonts w:ascii="Bookman Old Style" w:hAnsi="Bookman Old Style" w:cs="Arial"/>
              </w:rPr>
            </w:pPr>
          </w:p>
          <w:p w14:paraId="2581CC77" w14:textId="77777777" w:rsidR="00DB3663" w:rsidRPr="004C68F2" w:rsidRDefault="00DB3663" w:rsidP="00DB3663">
            <w:pPr>
              <w:rPr>
                <w:rFonts w:ascii="Bookman Old Style" w:hAnsi="Bookman Old Style" w:cs="Arial"/>
              </w:rPr>
            </w:pPr>
          </w:p>
          <w:p w14:paraId="7F8DC8F8" w14:textId="77777777" w:rsidR="00DB3663" w:rsidRPr="004C68F2" w:rsidRDefault="00DB3663" w:rsidP="00DB3663">
            <w:pPr>
              <w:jc w:val="center"/>
              <w:rPr>
                <w:rFonts w:ascii="Bookman Old Style" w:hAnsi="Bookman Old Style" w:cs="Arial"/>
              </w:rPr>
            </w:pPr>
          </w:p>
          <w:p w14:paraId="7D63C6D4" w14:textId="77777777" w:rsidR="00DB3663" w:rsidRPr="004C68F2" w:rsidRDefault="00DB3663" w:rsidP="00DB3663">
            <w:pPr>
              <w:pStyle w:val="Sinespaciado"/>
              <w:tabs>
                <w:tab w:val="left" w:pos="8055"/>
              </w:tabs>
              <w:jc w:val="center"/>
              <w:rPr>
                <w:rFonts w:ascii="Bookman Old Style" w:hAnsi="Bookman Old Style" w:cs="Arial"/>
                <w:b/>
              </w:rPr>
            </w:pPr>
            <w:r>
              <w:rPr>
                <w:rFonts w:ascii="Bookman Old Style" w:hAnsi="Bookman Old Style" w:cs="Arial"/>
                <w:b/>
              </w:rPr>
              <w:t>JORGE ENRIQUE BURGOS LUGO</w:t>
            </w:r>
          </w:p>
          <w:p w14:paraId="77CFB337" w14:textId="77777777" w:rsidR="00DB3663" w:rsidRPr="004C68F2" w:rsidRDefault="00DB3663" w:rsidP="00DB3663">
            <w:pPr>
              <w:pStyle w:val="Sinespaciado"/>
              <w:tabs>
                <w:tab w:val="left" w:pos="8055"/>
              </w:tabs>
              <w:jc w:val="center"/>
              <w:rPr>
                <w:rFonts w:ascii="Bookman Old Style" w:hAnsi="Bookman Old Style" w:cs="Arial"/>
              </w:rPr>
            </w:pPr>
            <w:r w:rsidRPr="004C68F2">
              <w:rPr>
                <w:rFonts w:ascii="Bookman Old Style" w:hAnsi="Bookman Old Style" w:cs="Arial"/>
              </w:rPr>
              <w:t>Representante a la Cámara</w:t>
            </w:r>
          </w:p>
          <w:p w14:paraId="5D6F9B7E" w14:textId="761B3D16" w:rsidR="00DB3663" w:rsidRPr="004C68F2" w:rsidRDefault="00DB3663" w:rsidP="00DB3663">
            <w:pPr>
              <w:jc w:val="center"/>
              <w:rPr>
                <w:rFonts w:ascii="Bookman Old Style" w:hAnsi="Bookman Old Style" w:cs="Arial"/>
              </w:rPr>
            </w:pPr>
            <w:r w:rsidRPr="004C68F2">
              <w:rPr>
                <w:rFonts w:ascii="Bookman Old Style" w:hAnsi="Bookman Old Style" w:cs="Arial"/>
              </w:rPr>
              <w:t>Ponente</w:t>
            </w:r>
          </w:p>
        </w:tc>
        <w:tc>
          <w:tcPr>
            <w:tcW w:w="4321" w:type="dxa"/>
          </w:tcPr>
          <w:p w14:paraId="1DAD1268" w14:textId="77777777" w:rsidR="00DB3663" w:rsidRPr="004C68F2" w:rsidRDefault="00DB3663" w:rsidP="00DB3663">
            <w:pPr>
              <w:jc w:val="center"/>
              <w:rPr>
                <w:rFonts w:ascii="Bookman Old Style" w:hAnsi="Bookman Old Style" w:cs="Arial"/>
              </w:rPr>
            </w:pPr>
          </w:p>
        </w:tc>
      </w:tr>
    </w:tbl>
    <w:p w14:paraId="2C45CFC6" w14:textId="77777777" w:rsidR="0048271E" w:rsidRPr="004C68F2" w:rsidRDefault="0048271E" w:rsidP="008A7299">
      <w:pPr>
        <w:jc w:val="both"/>
        <w:rPr>
          <w:rFonts w:ascii="Bookman Old Style" w:hAnsi="Bookman Old Style" w:cs="Arial"/>
          <w:b/>
          <w:u w:val="single"/>
          <w:lang w:val="es-ES"/>
        </w:rPr>
      </w:pPr>
    </w:p>
    <w:sectPr w:rsidR="0048271E" w:rsidRPr="004C68F2" w:rsidSect="00C76566">
      <w:headerReference w:type="default" r:id="rId10"/>
      <w:footerReference w:type="default" r:id="rId1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C7977" w14:textId="77777777" w:rsidR="0022017A" w:rsidRDefault="0022017A" w:rsidP="008B3619">
      <w:r>
        <w:separator/>
      </w:r>
    </w:p>
  </w:endnote>
  <w:endnote w:type="continuationSeparator" w:id="0">
    <w:p w14:paraId="38F88F79" w14:textId="77777777" w:rsidR="0022017A" w:rsidRDefault="0022017A" w:rsidP="008B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28BFF" w14:textId="77777777" w:rsidR="00616F28" w:rsidRDefault="00616F28" w:rsidP="002537C0">
    <w:pPr>
      <w:pStyle w:val="NormalWeb"/>
      <w:spacing w:before="0" w:beforeAutospacing="0" w:after="0" w:afterAutospacing="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43035" w14:textId="77777777" w:rsidR="0022017A" w:rsidRDefault="0022017A" w:rsidP="008B3619">
      <w:r>
        <w:separator/>
      </w:r>
    </w:p>
  </w:footnote>
  <w:footnote w:type="continuationSeparator" w:id="0">
    <w:p w14:paraId="7D71DC93" w14:textId="77777777" w:rsidR="0022017A" w:rsidRDefault="0022017A" w:rsidP="008B3619">
      <w:r>
        <w:continuationSeparator/>
      </w:r>
    </w:p>
  </w:footnote>
  <w:footnote w:id="1">
    <w:p w14:paraId="13507F86"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Corte Constitucional, Sentencia C-1192 de 2005.</w:t>
      </w:r>
    </w:p>
  </w:footnote>
  <w:footnote w:id="2">
    <w:p w14:paraId="1238F520"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Corte Constitucional, Sentencia C-666 de 2010.</w:t>
      </w:r>
    </w:p>
  </w:footnote>
  <w:footnote w:id="3">
    <w:p w14:paraId="2E207E01"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Ibídem.</w:t>
      </w:r>
    </w:p>
  </w:footnote>
  <w:footnote w:id="4">
    <w:p w14:paraId="2F8EBABD"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Corte Constitucional, Sentencia C-666 de 2010.</w:t>
      </w:r>
    </w:p>
  </w:footnote>
  <w:footnote w:id="5">
    <w:p w14:paraId="119EBE5A"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Ibidem.</w:t>
      </w:r>
    </w:p>
  </w:footnote>
  <w:footnote w:id="6">
    <w:p w14:paraId="11F9466F"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Corte Constitucional, Sentencia C-283 de 2014.</w:t>
      </w:r>
    </w:p>
  </w:footnote>
  <w:footnote w:id="7">
    <w:p w14:paraId="230FCB98"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Corte Constitucional, Sentencia C-467 de 2016.</w:t>
      </w:r>
    </w:p>
  </w:footnote>
  <w:footnote w:id="8">
    <w:p w14:paraId="300253B2"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Ibídem.</w:t>
      </w:r>
    </w:p>
  </w:footnote>
  <w:footnote w:id="9">
    <w:p w14:paraId="6451A675"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Ibídem</w:t>
      </w:r>
    </w:p>
  </w:footnote>
  <w:footnote w:id="10">
    <w:p w14:paraId="2B6BCBB1" w14:textId="77777777" w:rsidR="00616F28" w:rsidRPr="00C678BE" w:rsidRDefault="00616F28" w:rsidP="00616F28">
      <w:pPr>
        <w:pStyle w:val="Textonotapie"/>
        <w:rPr>
          <w:i/>
          <w:sz w:val="16"/>
          <w:szCs w:val="16"/>
        </w:rPr>
      </w:pPr>
      <w:r w:rsidRPr="00C678BE">
        <w:rPr>
          <w:rStyle w:val="Refdenotaalpie"/>
          <w:i/>
          <w:sz w:val="16"/>
          <w:szCs w:val="16"/>
        </w:rPr>
        <w:footnoteRef/>
      </w:r>
      <w:r w:rsidRPr="00C678BE">
        <w:rPr>
          <w:i/>
          <w:sz w:val="16"/>
          <w:szCs w:val="16"/>
        </w:rPr>
        <w:t xml:space="preserve"> Corte Constitucional, Sentencia C-041 de 2017.</w:t>
      </w:r>
    </w:p>
  </w:footnote>
  <w:footnote w:id="11">
    <w:p w14:paraId="6172226F" w14:textId="77777777" w:rsidR="00616F28" w:rsidRPr="005A7E82" w:rsidRDefault="00616F28" w:rsidP="00616F28">
      <w:pPr>
        <w:jc w:val="both"/>
        <w:rPr>
          <w:i/>
          <w:sz w:val="16"/>
          <w:szCs w:val="16"/>
        </w:rPr>
      </w:pPr>
      <w:r w:rsidRPr="00C678BE">
        <w:rPr>
          <w:i/>
          <w:sz w:val="16"/>
          <w:szCs w:val="16"/>
          <w:vertAlign w:val="superscript"/>
        </w:rPr>
        <w:footnoteRef/>
      </w:r>
      <w:r w:rsidRPr="005A7E82">
        <w:rPr>
          <w:i/>
          <w:sz w:val="16"/>
          <w:szCs w:val="16"/>
        </w:rPr>
        <w:t xml:space="preserve"> Un Estado social debe buscar, entre otros, el bienestar animal, por ser éste un elemento connatural al desarrollo del principio de solidaridad.</w:t>
      </w:r>
    </w:p>
  </w:footnote>
  <w:footnote w:id="12">
    <w:p w14:paraId="585F65AE" w14:textId="77777777" w:rsidR="00320E29" w:rsidRPr="005A7E82" w:rsidRDefault="00320E29" w:rsidP="00320E29">
      <w:pPr>
        <w:pBdr>
          <w:top w:val="nil"/>
          <w:left w:val="nil"/>
          <w:bottom w:val="nil"/>
          <w:right w:val="nil"/>
          <w:between w:val="nil"/>
        </w:pBdr>
        <w:jc w:val="both"/>
        <w:rPr>
          <w:i/>
          <w:color w:val="000000"/>
          <w:sz w:val="16"/>
          <w:szCs w:val="16"/>
          <w:highlight w:val="white"/>
        </w:rPr>
      </w:pPr>
      <w:r w:rsidRPr="00C678BE">
        <w:rPr>
          <w:i/>
          <w:sz w:val="16"/>
          <w:szCs w:val="16"/>
          <w:vertAlign w:val="superscript"/>
        </w:rPr>
        <w:footnoteRef/>
      </w:r>
      <w:r w:rsidRPr="005A7E82">
        <w:rPr>
          <w:i/>
          <w:color w:val="000000"/>
          <w:sz w:val="16"/>
          <w:szCs w:val="16"/>
        </w:rPr>
        <w:t xml:space="preserve"> </w:t>
      </w:r>
      <w:hyperlink r:id="rId1">
        <w:r w:rsidRPr="005A7E82">
          <w:rPr>
            <w:i/>
            <w:color w:val="000000"/>
            <w:sz w:val="16"/>
            <w:szCs w:val="16"/>
            <w:highlight w:val="white"/>
            <w:u w:val="single"/>
          </w:rPr>
          <w:t>http://avatma.org/2016/03/08/informe-tecnico-veterinario-sobre-los-espectaculos-taurinos-con-vacas-y-vaquillas/</w:t>
        </w:r>
      </w:hyperlink>
    </w:p>
    <w:p w14:paraId="5ECCA3AB" w14:textId="77777777" w:rsidR="00320E29" w:rsidRPr="005A7E82" w:rsidRDefault="00320E29" w:rsidP="00320E29">
      <w:pPr>
        <w:pBdr>
          <w:top w:val="nil"/>
          <w:left w:val="nil"/>
          <w:bottom w:val="nil"/>
          <w:right w:val="nil"/>
          <w:between w:val="nil"/>
        </w:pBdr>
        <w:tabs>
          <w:tab w:val="left" w:pos="300"/>
        </w:tabs>
        <w:ind w:left="320" w:hanging="320"/>
        <w:jc w:val="both"/>
        <w:rPr>
          <w:i/>
          <w:color w:val="000000"/>
          <w:sz w:val="16"/>
          <w:szCs w:val="16"/>
        </w:rPr>
      </w:pPr>
    </w:p>
  </w:footnote>
  <w:footnote w:id="13">
    <w:p w14:paraId="6BAFC0B1" w14:textId="77777777" w:rsidR="00320E29" w:rsidRPr="005A7E82" w:rsidRDefault="00320E29" w:rsidP="00320E29">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http://es.scribd.com/doc/79119470/La-Crueldad-de-Las-Corridas-Incruentas</w:t>
      </w:r>
    </w:p>
  </w:footnote>
  <w:footnote w:id="14">
    <w:p w14:paraId="508043E1" w14:textId="77777777" w:rsidR="00320E29" w:rsidRPr="00C678BE" w:rsidRDefault="00320E29" w:rsidP="00320E29">
      <w:pPr>
        <w:pBdr>
          <w:top w:val="nil"/>
          <w:left w:val="nil"/>
          <w:bottom w:val="nil"/>
          <w:right w:val="nil"/>
          <w:between w:val="nil"/>
        </w:pBdr>
        <w:tabs>
          <w:tab w:val="left" w:pos="300"/>
        </w:tabs>
        <w:ind w:left="320" w:hanging="320"/>
        <w:jc w:val="both"/>
        <w:rPr>
          <w:i/>
          <w:color w:val="000000"/>
          <w:sz w:val="16"/>
          <w:szCs w:val="16"/>
          <w:lang w:val="en-US"/>
        </w:rPr>
      </w:pPr>
      <w:r w:rsidRPr="00C678BE">
        <w:rPr>
          <w:i/>
          <w:sz w:val="16"/>
          <w:szCs w:val="16"/>
          <w:vertAlign w:val="superscript"/>
        </w:rPr>
        <w:footnoteRef/>
      </w:r>
      <w:r w:rsidRPr="00C678BE">
        <w:rPr>
          <w:i/>
          <w:color w:val="000000"/>
          <w:sz w:val="16"/>
          <w:szCs w:val="16"/>
          <w:lang w:val="en-US"/>
        </w:rPr>
        <w:t xml:space="preserve"> United Nations. Convention on the Rights of the Child. CRC/C/COL/CO/4-5. Committee on the Rights of the Child. Concluding observations on the combined fourth and fifth periodic reports of Colombia, adopted by the Committee at its sixty-eighth session (12-30 January 2015). </w:t>
      </w:r>
    </w:p>
  </w:footnote>
  <w:footnote w:id="15">
    <w:p w14:paraId="63B8F90F" w14:textId="77777777" w:rsidR="00320E29" w:rsidRPr="005A7E82" w:rsidRDefault="00320E29" w:rsidP="00320E29">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(2017). Algunos aspectos psicológicos para explicar el desarrollo de la afición taurina. Anamnesis Revista de Bioética. Pontificia Universidad Javeriana. Número 12. julio – diciembre 2017 (p 19 – 28).</w:t>
      </w:r>
    </w:p>
  </w:footnote>
  <w:footnote w:id="16">
    <w:p w14:paraId="4A37AAFC" w14:textId="77777777" w:rsidR="00320E29" w:rsidRPr="005A7E82" w:rsidRDefault="00320E29" w:rsidP="00320E29">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(2013). Abolición de la tauromaquia desde una bioética no </w:t>
      </w:r>
      <w:proofErr w:type="spellStart"/>
      <w:r w:rsidRPr="005A7E82">
        <w:rPr>
          <w:i/>
          <w:color w:val="000000"/>
          <w:sz w:val="16"/>
          <w:szCs w:val="16"/>
        </w:rPr>
        <w:t>especista</w:t>
      </w:r>
      <w:proofErr w:type="spellEnd"/>
      <w:r w:rsidRPr="005A7E82">
        <w:rPr>
          <w:i/>
          <w:color w:val="000000"/>
          <w:sz w:val="16"/>
          <w:szCs w:val="16"/>
        </w:rPr>
        <w:t>. Ponencia presentada en la 7ª Cumbre de la Red Mundial por la Abolición de la Tauromaquia Bogotá (Colombia).</w:t>
      </w:r>
    </w:p>
  </w:footnote>
  <w:footnote w:id="17">
    <w:p w14:paraId="54A76D06" w14:textId="77777777" w:rsidR="00320E29" w:rsidRPr="005A7E82" w:rsidRDefault="00320E29" w:rsidP="00320E29">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Crespo, C. (2017). La falacia del uso de argumentos sobre minorías y libertades individuales en la tauromaquia. Recuperado de: http://elturbion.com/?p=14953</w:t>
      </w:r>
    </w:p>
  </w:footnote>
  <w:footnote w:id="18">
    <w:p w14:paraId="360E531A" w14:textId="77777777" w:rsidR="00320E29" w:rsidRPr="005A7E82" w:rsidRDefault="00320E29" w:rsidP="00320E29">
      <w:pPr>
        <w:pBdr>
          <w:top w:val="nil"/>
          <w:left w:val="nil"/>
          <w:bottom w:val="nil"/>
          <w:right w:val="nil"/>
          <w:between w:val="nil"/>
        </w:pBdr>
        <w:jc w:val="both"/>
        <w:rPr>
          <w:i/>
          <w:color w:val="000000"/>
          <w:sz w:val="16"/>
          <w:szCs w:val="16"/>
        </w:rPr>
      </w:pPr>
      <w:r w:rsidRPr="00C678BE">
        <w:rPr>
          <w:i/>
          <w:sz w:val="16"/>
          <w:szCs w:val="16"/>
          <w:vertAlign w:val="superscript"/>
        </w:rPr>
        <w:footnoteRef/>
      </w:r>
      <w:r w:rsidRPr="005A7E82">
        <w:rPr>
          <w:i/>
          <w:color w:val="000000"/>
          <w:sz w:val="16"/>
          <w:szCs w:val="16"/>
        </w:rPr>
        <w:t xml:space="preserve"> Rubiano, F. (2017). Fabio Rubiano descarta la muerte como arte. Recuperado de https://www.youtube.com/watch?v=KaL10DzWyaM </w:t>
      </w:r>
    </w:p>
    <w:p w14:paraId="5E96D0B4" w14:textId="77777777" w:rsidR="00320E29" w:rsidRPr="005A7E82" w:rsidRDefault="00320E29" w:rsidP="00320E29">
      <w:pPr>
        <w:pBdr>
          <w:top w:val="nil"/>
          <w:left w:val="nil"/>
          <w:bottom w:val="nil"/>
          <w:right w:val="nil"/>
          <w:between w:val="nil"/>
        </w:pBdr>
        <w:tabs>
          <w:tab w:val="left" w:pos="300"/>
        </w:tabs>
        <w:ind w:left="320" w:hanging="320"/>
        <w:jc w:val="both"/>
        <w:rPr>
          <w:i/>
          <w:color w:val="000000"/>
          <w:sz w:val="16"/>
          <w:szCs w:val="16"/>
        </w:rPr>
      </w:pPr>
    </w:p>
  </w:footnote>
  <w:footnote w:id="19">
    <w:p w14:paraId="5AD17570" w14:textId="77777777" w:rsidR="00320E29" w:rsidRPr="005A7E82" w:rsidRDefault="00320E29" w:rsidP="00320E29">
      <w:pPr>
        <w:pBdr>
          <w:top w:val="nil"/>
          <w:left w:val="nil"/>
          <w:bottom w:val="nil"/>
          <w:right w:val="nil"/>
          <w:between w:val="nil"/>
        </w:pBdr>
        <w:tabs>
          <w:tab w:val="left" w:pos="300"/>
        </w:tabs>
        <w:ind w:left="320" w:hanging="320"/>
        <w:jc w:val="both"/>
        <w:rPr>
          <w:i/>
          <w:color w:val="000000"/>
          <w:sz w:val="16"/>
          <w:szCs w:val="16"/>
        </w:rPr>
      </w:pPr>
      <w:r w:rsidRPr="00C678BE">
        <w:rPr>
          <w:i/>
          <w:sz w:val="16"/>
          <w:szCs w:val="16"/>
          <w:vertAlign w:val="superscript"/>
        </w:rPr>
        <w:footnoteRef/>
      </w:r>
      <w:r w:rsidRPr="005A7E82">
        <w:rPr>
          <w:i/>
          <w:color w:val="000000"/>
          <w:sz w:val="16"/>
          <w:szCs w:val="16"/>
        </w:rPr>
        <w:t xml:space="preserve"> Fundación </w:t>
      </w:r>
      <w:proofErr w:type="gramStart"/>
      <w:r w:rsidRPr="005A7E82">
        <w:rPr>
          <w:i/>
          <w:color w:val="000000"/>
          <w:sz w:val="16"/>
          <w:szCs w:val="16"/>
        </w:rPr>
        <w:t>Colectivo</w:t>
      </w:r>
      <w:proofErr w:type="gramEnd"/>
      <w:r w:rsidRPr="005A7E82">
        <w:rPr>
          <w:i/>
          <w:color w:val="000000"/>
          <w:sz w:val="16"/>
          <w:szCs w:val="16"/>
        </w:rPr>
        <w:t xml:space="preserve"> Identidad Animal (2018). Informe sobre el Impacto de la Tauromaquia en la ciudad de Manizales, Caldas. Recuperado de https://drive.google.com/file/d/0B15TnNlQqjo7T0hKV3VXUnBoanR1ZXJMa2Zqa1FjM0ZvYWlB/view?usp=drivesdk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769750"/>
      <w:docPartObj>
        <w:docPartGallery w:val="Page Numbers (Top of Page)"/>
        <w:docPartUnique/>
      </w:docPartObj>
    </w:sdtPr>
    <w:sdtEndPr/>
    <w:sdtContent>
      <w:p w14:paraId="4CCBC27E" w14:textId="77777777" w:rsidR="00616F28" w:rsidRDefault="00616F28">
        <w:pPr>
          <w:pStyle w:val="Encabezado"/>
          <w:jc w:val="right"/>
        </w:pPr>
        <w:r>
          <w:rPr>
            <w:lang w:val="es-ES"/>
          </w:rPr>
          <w:t xml:space="preserve">Página </w:t>
        </w:r>
        <w:r>
          <w:rPr>
            <w:b/>
            <w:bCs/>
          </w:rPr>
          <w:fldChar w:fldCharType="begin"/>
        </w:r>
        <w:r>
          <w:rPr>
            <w:b/>
            <w:bCs/>
          </w:rPr>
          <w:instrText>PAGE</w:instrText>
        </w:r>
        <w:r>
          <w:rPr>
            <w:b/>
            <w:bCs/>
          </w:rPr>
          <w:fldChar w:fldCharType="separate"/>
        </w:r>
        <w:r w:rsidR="0064403B">
          <w:rPr>
            <w:b/>
            <w:bCs/>
            <w:noProof/>
          </w:rPr>
          <w:t>36</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64403B">
          <w:rPr>
            <w:b/>
            <w:bCs/>
            <w:noProof/>
          </w:rPr>
          <w:t>37</w:t>
        </w:r>
        <w:r>
          <w:rPr>
            <w:b/>
            <w:bCs/>
          </w:rPr>
          <w:fldChar w:fldCharType="end"/>
        </w:r>
      </w:p>
    </w:sdtContent>
  </w:sdt>
  <w:p w14:paraId="3FF12E58" w14:textId="77777777" w:rsidR="00616F28" w:rsidRDefault="00616F28" w:rsidP="00E95829">
    <w:pPr>
      <w:pStyle w:val="Encabezado"/>
      <w:jc w:val="center"/>
    </w:pPr>
    <w:r>
      <w:rPr>
        <w:noProof/>
      </w:rPr>
      <w:drawing>
        <wp:inline distT="0" distB="0" distL="0" distR="0" wp14:anchorId="39A50599" wp14:editId="0AD480BF">
          <wp:extent cx="2765334" cy="8191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p w14:paraId="228BC641" w14:textId="77777777" w:rsidR="00616F28" w:rsidRDefault="00616F28" w:rsidP="00E9582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D8C"/>
    <w:multiLevelType w:val="hybridMultilevel"/>
    <w:tmpl w:val="D22678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4A13225"/>
    <w:multiLevelType w:val="hybridMultilevel"/>
    <w:tmpl w:val="FB0ED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61364"/>
    <w:multiLevelType w:val="multilevel"/>
    <w:tmpl w:val="2BE0B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3B38D2"/>
    <w:multiLevelType w:val="multilevel"/>
    <w:tmpl w:val="E1C0368A"/>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401866"/>
    <w:multiLevelType w:val="hybridMultilevel"/>
    <w:tmpl w:val="8F1A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C0DD1"/>
    <w:multiLevelType w:val="hybridMultilevel"/>
    <w:tmpl w:val="58784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883"/>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4843370"/>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4897AB0"/>
    <w:multiLevelType w:val="hybridMultilevel"/>
    <w:tmpl w:val="678C0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44C8F"/>
    <w:multiLevelType w:val="hybridMultilevel"/>
    <w:tmpl w:val="4BC68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4781A"/>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1318F0"/>
    <w:multiLevelType w:val="multilevel"/>
    <w:tmpl w:val="D5F6E5B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B210D5"/>
    <w:multiLevelType w:val="hybridMultilevel"/>
    <w:tmpl w:val="E45C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641FB"/>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5EB51B3"/>
    <w:multiLevelType w:val="hybridMultilevel"/>
    <w:tmpl w:val="12A468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6FD74A5"/>
    <w:multiLevelType w:val="hybridMultilevel"/>
    <w:tmpl w:val="3E8857AC"/>
    <w:lvl w:ilvl="0" w:tplc="2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6" w15:restartNumberingAfterBreak="0">
    <w:nsid w:val="276C1CF4"/>
    <w:multiLevelType w:val="hybridMultilevel"/>
    <w:tmpl w:val="BDD6755A"/>
    <w:lvl w:ilvl="0" w:tplc="14961E4C">
      <w:start w:val="1"/>
      <w:numFmt w:val="decimal"/>
      <w:lvlText w:val="%1."/>
      <w:lvlJc w:val="left"/>
      <w:pPr>
        <w:ind w:left="1425" w:hanging="705"/>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3B1D7C24"/>
    <w:multiLevelType w:val="hybridMultilevel"/>
    <w:tmpl w:val="6B6456F6"/>
    <w:lvl w:ilvl="0" w:tplc="040A0001">
      <w:start w:val="1"/>
      <w:numFmt w:val="bullet"/>
      <w:lvlText w:val=""/>
      <w:lvlJc w:val="left"/>
      <w:pPr>
        <w:ind w:left="797" w:hanging="360"/>
      </w:pPr>
      <w:rPr>
        <w:rFonts w:ascii="Symbol" w:hAnsi="Symbol" w:hint="default"/>
      </w:rPr>
    </w:lvl>
    <w:lvl w:ilvl="1" w:tplc="040A0003" w:tentative="1">
      <w:start w:val="1"/>
      <w:numFmt w:val="bullet"/>
      <w:lvlText w:val="o"/>
      <w:lvlJc w:val="left"/>
      <w:pPr>
        <w:ind w:left="1517" w:hanging="360"/>
      </w:pPr>
      <w:rPr>
        <w:rFonts w:ascii="Courier New" w:hAnsi="Courier New" w:cs="Courier New" w:hint="default"/>
      </w:rPr>
    </w:lvl>
    <w:lvl w:ilvl="2" w:tplc="040A0005" w:tentative="1">
      <w:start w:val="1"/>
      <w:numFmt w:val="bullet"/>
      <w:lvlText w:val=""/>
      <w:lvlJc w:val="left"/>
      <w:pPr>
        <w:ind w:left="2237" w:hanging="360"/>
      </w:pPr>
      <w:rPr>
        <w:rFonts w:ascii="Wingdings" w:hAnsi="Wingdings" w:hint="default"/>
      </w:rPr>
    </w:lvl>
    <w:lvl w:ilvl="3" w:tplc="040A0001" w:tentative="1">
      <w:start w:val="1"/>
      <w:numFmt w:val="bullet"/>
      <w:lvlText w:val=""/>
      <w:lvlJc w:val="left"/>
      <w:pPr>
        <w:ind w:left="2957" w:hanging="360"/>
      </w:pPr>
      <w:rPr>
        <w:rFonts w:ascii="Symbol" w:hAnsi="Symbol" w:hint="default"/>
      </w:rPr>
    </w:lvl>
    <w:lvl w:ilvl="4" w:tplc="040A0003" w:tentative="1">
      <w:start w:val="1"/>
      <w:numFmt w:val="bullet"/>
      <w:lvlText w:val="o"/>
      <w:lvlJc w:val="left"/>
      <w:pPr>
        <w:ind w:left="3677" w:hanging="360"/>
      </w:pPr>
      <w:rPr>
        <w:rFonts w:ascii="Courier New" w:hAnsi="Courier New" w:cs="Courier New" w:hint="default"/>
      </w:rPr>
    </w:lvl>
    <w:lvl w:ilvl="5" w:tplc="040A0005" w:tentative="1">
      <w:start w:val="1"/>
      <w:numFmt w:val="bullet"/>
      <w:lvlText w:val=""/>
      <w:lvlJc w:val="left"/>
      <w:pPr>
        <w:ind w:left="4397" w:hanging="360"/>
      </w:pPr>
      <w:rPr>
        <w:rFonts w:ascii="Wingdings" w:hAnsi="Wingdings" w:hint="default"/>
      </w:rPr>
    </w:lvl>
    <w:lvl w:ilvl="6" w:tplc="040A0001" w:tentative="1">
      <w:start w:val="1"/>
      <w:numFmt w:val="bullet"/>
      <w:lvlText w:val=""/>
      <w:lvlJc w:val="left"/>
      <w:pPr>
        <w:ind w:left="5117" w:hanging="360"/>
      </w:pPr>
      <w:rPr>
        <w:rFonts w:ascii="Symbol" w:hAnsi="Symbol" w:hint="default"/>
      </w:rPr>
    </w:lvl>
    <w:lvl w:ilvl="7" w:tplc="040A0003" w:tentative="1">
      <w:start w:val="1"/>
      <w:numFmt w:val="bullet"/>
      <w:lvlText w:val="o"/>
      <w:lvlJc w:val="left"/>
      <w:pPr>
        <w:ind w:left="5837" w:hanging="360"/>
      </w:pPr>
      <w:rPr>
        <w:rFonts w:ascii="Courier New" w:hAnsi="Courier New" w:cs="Courier New" w:hint="default"/>
      </w:rPr>
    </w:lvl>
    <w:lvl w:ilvl="8" w:tplc="040A0005" w:tentative="1">
      <w:start w:val="1"/>
      <w:numFmt w:val="bullet"/>
      <w:lvlText w:val=""/>
      <w:lvlJc w:val="left"/>
      <w:pPr>
        <w:ind w:left="6557" w:hanging="360"/>
      </w:pPr>
      <w:rPr>
        <w:rFonts w:ascii="Wingdings" w:hAnsi="Wingdings" w:hint="default"/>
      </w:rPr>
    </w:lvl>
  </w:abstractNum>
  <w:abstractNum w:abstractNumId="18" w15:restartNumberingAfterBreak="0">
    <w:nsid w:val="3D0D4D71"/>
    <w:multiLevelType w:val="hybridMultilevel"/>
    <w:tmpl w:val="443892D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3D45311A"/>
    <w:multiLevelType w:val="hybridMultilevel"/>
    <w:tmpl w:val="C6C03E60"/>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20" w15:restartNumberingAfterBreak="0">
    <w:nsid w:val="3D7A37A7"/>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0A6634B"/>
    <w:multiLevelType w:val="hybridMultilevel"/>
    <w:tmpl w:val="0010AE82"/>
    <w:lvl w:ilvl="0" w:tplc="423EA41A">
      <w:start w:val="1"/>
      <w:numFmt w:val="lowerLetter"/>
      <w:lvlText w:val="%1."/>
      <w:lvlJc w:val="left"/>
      <w:pPr>
        <w:ind w:left="1211" w:hanging="360"/>
      </w:pPr>
      <w:rPr>
        <w:rFonts w:hint="default"/>
        <w:b w:val="0"/>
        <w:strike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15:restartNumberingAfterBreak="0">
    <w:nsid w:val="41AE03BC"/>
    <w:multiLevelType w:val="hybridMultilevel"/>
    <w:tmpl w:val="0010AE82"/>
    <w:lvl w:ilvl="0" w:tplc="423EA41A">
      <w:start w:val="1"/>
      <w:numFmt w:val="lowerLetter"/>
      <w:lvlText w:val="%1."/>
      <w:lvlJc w:val="left"/>
      <w:pPr>
        <w:ind w:left="360" w:hanging="360"/>
      </w:pPr>
      <w:rPr>
        <w:rFonts w:hint="default"/>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2FF7B38"/>
    <w:multiLevelType w:val="multilevel"/>
    <w:tmpl w:val="F22295D4"/>
    <w:lvl w:ilvl="0">
      <w:start w:val="4"/>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1E1A92"/>
    <w:multiLevelType w:val="hybridMultilevel"/>
    <w:tmpl w:val="AFA2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581B35"/>
    <w:multiLevelType w:val="hybridMultilevel"/>
    <w:tmpl w:val="63E6FD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934CE"/>
    <w:multiLevelType w:val="multilevel"/>
    <w:tmpl w:val="FD706C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101039"/>
    <w:multiLevelType w:val="hybridMultilevel"/>
    <w:tmpl w:val="176AA520"/>
    <w:lvl w:ilvl="0" w:tplc="1A8AA7F6">
      <w:start w:val="1"/>
      <w:numFmt w:val="decimal"/>
      <w:lvlText w:val="3.%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308311D"/>
    <w:multiLevelType w:val="hybridMultilevel"/>
    <w:tmpl w:val="DA4C5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D5870"/>
    <w:multiLevelType w:val="multilevel"/>
    <w:tmpl w:val="2BE0B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B6911C6"/>
    <w:multiLevelType w:val="hybridMultilevel"/>
    <w:tmpl w:val="0562C014"/>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1" w15:restartNumberingAfterBreak="0">
    <w:nsid w:val="5FA61F36"/>
    <w:multiLevelType w:val="hybridMultilevel"/>
    <w:tmpl w:val="25CA22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7060CF"/>
    <w:multiLevelType w:val="hybridMultilevel"/>
    <w:tmpl w:val="44B8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F24752"/>
    <w:multiLevelType w:val="hybridMultilevel"/>
    <w:tmpl w:val="B248FEDE"/>
    <w:lvl w:ilvl="0" w:tplc="423454DC">
      <w:start w:val="1"/>
      <w:numFmt w:val="lowerLetter"/>
      <w:lvlText w:val="%1)"/>
      <w:lvlJc w:val="left"/>
      <w:pPr>
        <w:ind w:left="786" w:hanging="360"/>
      </w:pPr>
      <w:rPr>
        <w:rFonts w:hint="default"/>
        <w:b/>
        <w:bCs/>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34" w15:restartNumberingAfterBreak="0">
    <w:nsid w:val="645305FF"/>
    <w:multiLevelType w:val="hybridMultilevel"/>
    <w:tmpl w:val="4AF06E16"/>
    <w:lvl w:ilvl="0" w:tplc="860AD434">
      <w:start w:val="1"/>
      <w:numFmt w:val="lowerLetter"/>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5" w15:restartNumberingAfterBreak="0">
    <w:nsid w:val="692E496C"/>
    <w:multiLevelType w:val="hybridMultilevel"/>
    <w:tmpl w:val="E776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7419C5"/>
    <w:multiLevelType w:val="hybridMultilevel"/>
    <w:tmpl w:val="81365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D63B3C"/>
    <w:multiLevelType w:val="hybridMultilevel"/>
    <w:tmpl w:val="EB9665AC"/>
    <w:lvl w:ilvl="0" w:tplc="CD62AB1C">
      <w:start w:val="1"/>
      <w:numFmt w:val="decimal"/>
      <w:lvlText w:val="%1."/>
      <w:lvlJc w:val="left"/>
      <w:pPr>
        <w:ind w:left="1311" w:hanging="4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BF44752"/>
    <w:multiLevelType w:val="multilevel"/>
    <w:tmpl w:val="C3C26B26"/>
    <w:lvl w:ilvl="0">
      <w:start w:val="1"/>
      <w:numFmt w:val="upperRoman"/>
      <w:lvlText w:val="%1."/>
      <w:lvlJc w:val="righ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CF8437B"/>
    <w:multiLevelType w:val="hybridMultilevel"/>
    <w:tmpl w:val="F362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8694F"/>
    <w:multiLevelType w:val="hybridMultilevel"/>
    <w:tmpl w:val="75B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B5465"/>
    <w:multiLevelType w:val="hybridMultilevel"/>
    <w:tmpl w:val="E61AF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0726B7"/>
    <w:multiLevelType w:val="hybridMultilevel"/>
    <w:tmpl w:val="7D7C7A52"/>
    <w:lvl w:ilvl="0" w:tplc="A39ABF82">
      <w:start w:val="6"/>
      <w:numFmt w:val="bullet"/>
      <w:lvlText w:val="-"/>
      <w:lvlJc w:val="left"/>
      <w:pPr>
        <w:ind w:left="720" w:hanging="360"/>
      </w:pPr>
      <w:rPr>
        <w:rFonts w:ascii="Bookman Old Style" w:eastAsia="Times New Roman" w:hAnsi="Bookman Old Style"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46358EE"/>
    <w:multiLevelType w:val="hybridMultilevel"/>
    <w:tmpl w:val="41EE9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CA1E56"/>
    <w:multiLevelType w:val="hybridMultilevel"/>
    <w:tmpl w:val="176AA520"/>
    <w:lvl w:ilvl="0" w:tplc="1A8AA7F6">
      <w:start w:val="1"/>
      <w:numFmt w:val="decimal"/>
      <w:lvlText w:val="3.%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A2F26FC"/>
    <w:multiLevelType w:val="hybridMultilevel"/>
    <w:tmpl w:val="AA98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90F1F"/>
    <w:multiLevelType w:val="hybridMultilevel"/>
    <w:tmpl w:val="A60451A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7" w15:restartNumberingAfterBreak="0">
    <w:nsid w:val="7F7B6C09"/>
    <w:multiLevelType w:val="hybridMultilevel"/>
    <w:tmpl w:val="40D0D98A"/>
    <w:lvl w:ilvl="0" w:tplc="37BC7E68">
      <w:start w:val="1"/>
      <w:numFmt w:val="decimal"/>
      <w:lvlText w:val="ARTÍCULO %1°."/>
      <w:lvlJc w:val="left"/>
      <w:pPr>
        <w:ind w:left="0" w:firstLine="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33"/>
  </w:num>
  <w:num w:numId="3">
    <w:abstractNumId w:val="47"/>
  </w:num>
  <w:num w:numId="4">
    <w:abstractNumId w:val="46"/>
  </w:num>
  <w:num w:numId="5">
    <w:abstractNumId w:val="19"/>
  </w:num>
  <w:num w:numId="6">
    <w:abstractNumId w:val="30"/>
  </w:num>
  <w:num w:numId="7">
    <w:abstractNumId w:val="16"/>
  </w:num>
  <w:num w:numId="8">
    <w:abstractNumId w:val="1"/>
  </w:num>
  <w:num w:numId="9">
    <w:abstractNumId w:val="9"/>
  </w:num>
  <w:num w:numId="10">
    <w:abstractNumId w:val="39"/>
  </w:num>
  <w:num w:numId="11">
    <w:abstractNumId w:val="24"/>
  </w:num>
  <w:num w:numId="12">
    <w:abstractNumId w:val="8"/>
  </w:num>
  <w:num w:numId="13">
    <w:abstractNumId w:val="43"/>
  </w:num>
  <w:num w:numId="14">
    <w:abstractNumId w:val="25"/>
  </w:num>
  <w:num w:numId="15">
    <w:abstractNumId w:val="5"/>
  </w:num>
  <w:num w:numId="16">
    <w:abstractNumId w:val="28"/>
  </w:num>
  <w:num w:numId="17">
    <w:abstractNumId w:val="21"/>
  </w:num>
  <w:num w:numId="18">
    <w:abstractNumId w:val="18"/>
  </w:num>
  <w:num w:numId="19">
    <w:abstractNumId w:val="37"/>
  </w:num>
  <w:num w:numId="20">
    <w:abstractNumId w:val="34"/>
  </w:num>
  <w:num w:numId="21">
    <w:abstractNumId w:val="42"/>
  </w:num>
  <w:num w:numId="22">
    <w:abstractNumId w:val="36"/>
  </w:num>
  <w:num w:numId="23">
    <w:abstractNumId w:val="12"/>
  </w:num>
  <w:num w:numId="24">
    <w:abstractNumId w:val="4"/>
  </w:num>
  <w:num w:numId="25">
    <w:abstractNumId w:val="35"/>
  </w:num>
  <w:num w:numId="26">
    <w:abstractNumId w:val="40"/>
  </w:num>
  <w:num w:numId="27">
    <w:abstractNumId w:val="41"/>
  </w:num>
  <w:num w:numId="28">
    <w:abstractNumId w:val="32"/>
  </w:num>
  <w:num w:numId="29">
    <w:abstractNumId w:val="45"/>
  </w:num>
  <w:num w:numId="30">
    <w:abstractNumId w:val="22"/>
  </w:num>
  <w:num w:numId="31">
    <w:abstractNumId w:val="38"/>
  </w:num>
  <w:num w:numId="32">
    <w:abstractNumId w:val="3"/>
  </w:num>
  <w:num w:numId="33">
    <w:abstractNumId w:val="13"/>
  </w:num>
  <w:num w:numId="34">
    <w:abstractNumId w:val="6"/>
  </w:num>
  <w:num w:numId="35">
    <w:abstractNumId w:val="10"/>
  </w:num>
  <w:num w:numId="36">
    <w:abstractNumId w:val="20"/>
  </w:num>
  <w:num w:numId="37">
    <w:abstractNumId w:val="31"/>
  </w:num>
  <w:num w:numId="38">
    <w:abstractNumId w:val="7"/>
  </w:num>
  <w:num w:numId="39">
    <w:abstractNumId w:val="0"/>
  </w:num>
  <w:num w:numId="40">
    <w:abstractNumId w:val="29"/>
  </w:num>
  <w:num w:numId="41">
    <w:abstractNumId w:val="15"/>
  </w:num>
  <w:num w:numId="42">
    <w:abstractNumId w:val="11"/>
  </w:num>
  <w:num w:numId="43">
    <w:abstractNumId w:val="2"/>
  </w:num>
  <w:num w:numId="44">
    <w:abstractNumId w:val="14"/>
  </w:num>
  <w:num w:numId="45">
    <w:abstractNumId w:val="17"/>
  </w:num>
  <w:num w:numId="46">
    <w:abstractNumId w:val="27"/>
  </w:num>
  <w:num w:numId="47">
    <w:abstractNumId w:val="44"/>
  </w:num>
  <w:num w:numId="4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O"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n-GB"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19"/>
    <w:rsid w:val="00000B67"/>
    <w:rsid w:val="0000116A"/>
    <w:rsid w:val="00002342"/>
    <w:rsid w:val="00004ECB"/>
    <w:rsid w:val="0000616F"/>
    <w:rsid w:val="000061AE"/>
    <w:rsid w:val="0000670E"/>
    <w:rsid w:val="00010717"/>
    <w:rsid w:val="00011C06"/>
    <w:rsid w:val="00012E48"/>
    <w:rsid w:val="00013A4B"/>
    <w:rsid w:val="000146D6"/>
    <w:rsid w:val="000148D5"/>
    <w:rsid w:val="00015130"/>
    <w:rsid w:val="000152C5"/>
    <w:rsid w:val="00015DD9"/>
    <w:rsid w:val="00015F71"/>
    <w:rsid w:val="000169AC"/>
    <w:rsid w:val="00016C24"/>
    <w:rsid w:val="000171A9"/>
    <w:rsid w:val="000208CE"/>
    <w:rsid w:val="00022B5E"/>
    <w:rsid w:val="0002512E"/>
    <w:rsid w:val="00025B47"/>
    <w:rsid w:val="000271C7"/>
    <w:rsid w:val="00030549"/>
    <w:rsid w:val="00031EC9"/>
    <w:rsid w:val="00032DD7"/>
    <w:rsid w:val="00033BD3"/>
    <w:rsid w:val="000348DD"/>
    <w:rsid w:val="0003553F"/>
    <w:rsid w:val="00035927"/>
    <w:rsid w:val="000366D7"/>
    <w:rsid w:val="00037B11"/>
    <w:rsid w:val="0004006C"/>
    <w:rsid w:val="00040BA6"/>
    <w:rsid w:val="0004155F"/>
    <w:rsid w:val="00041CAE"/>
    <w:rsid w:val="0004266B"/>
    <w:rsid w:val="00042A16"/>
    <w:rsid w:val="00043C1B"/>
    <w:rsid w:val="00044AED"/>
    <w:rsid w:val="0004536B"/>
    <w:rsid w:val="000455DD"/>
    <w:rsid w:val="0004576E"/>
    <w:rsid w:val="00046748"/>
    <w:rsid w:val="000469A6"/>
    <w:rsid w:val="00046FB8"/>
    <w:rsid w:val="00047214"/>
    <w:rsid w:val="0004763A"/>
    <w:rsid w:val="00047A7C"/>
    <w:rsid w:val="0005062F"/>
    <w:rsid w:val="00050861"/>
    <w:rsid w:val="00050C94"/>
    <w:rsid w:val="000513AD"/>
    <w:rsid w:val="000517EB"/>
    <w:rsid w:val="00051A16"/>
    <w:rsid w:val="00051B7F"/>
    <w:rsid w:val="00054687"/>
    <w:rsid w:val="00055410"/>
    <w:rsid w:val="00055422"/>
    <w:rsid w:val="0006072F"/>
    <w:rsid w:val="00060B0D"/>
    <w:rsid w:val="000616DE"/>
    <w:rsid w:val="000632A0"/>
    <w:rsid w:val="000638EB"/>
    <w:rsid w:val="00064CF4"/>
    <w:rsid w:val="000657CF"/>
    <w:rsid w:val="00065E85"/>
    <w:rsid w:val="0006663A"/>
    <w:rsid w:val="00067145"/>
    <w:rsid w:val="000675A5"/>
    <w:rsid w:val="00067A24"/>
    <w:rsid w:val="00067AF2"/>
    <w:rsid w:val="0007175E"/>
    <w:rsid w:val="00071FCD"/>
    <w:rsid w:val="00072B33"/>
    <w:rsid w:val="000737CE"/>
    <w:rsid w:val="0007499C"/>
    <w:rsid w:val="00074F7B"/>
    <w:rsid w:val="00075199"/>
    <w:rsid w:val="00076D0C"/>
    <w:rsid w:val="00077999"/>
    <w:rsid w:val="0008022B"/>
    <w:rsid w:val="000808F2"/>
    <w:rsid w:val="00083071"/>
    <w:rsid w:val="000832BB"/>
    <w:rsid w:val="00083B8C"/>
    <w:rsid w:val="00084508"/>
    <w:rsid w:val="000850F8"/>
    <w:rsid w:val="00085EEC"/>
    <w:rsid w:val="000868FF"/>
    <w:rsid w:val="00086955"/>
    <w:rsid w:val="00090785"/>
    <w:rsid w:val="00092744"/>
    <w:rsid w:val="00093612"/>
    <w:rsid w:val="00093E81"/>
    <w:rsid w:val="00094291"/>
    <w:rsid w:val="000949A9"/>
    <w:rsid w:val="00094FD7"/>
    <w:rsid w:val="000960F6"/>
    <w:rsid w:val="0009727C"/>
    <w:rsid w:val="000A102D"/>
    <w:rsid w:val="000A20EC"/>
    <w:rsid w:val="000A2593"/>
    <w:rsid w:val="000A4208"/>
    <w:rsid w:val="000A570D"/>
    <w:rsid w:val="000A5891"/>
    <w:rsid w:val="000A5E18"/>
    <w:rsid w:val="000A67CC"/>
    <w:rsid w:val="000A7F7F"/>
    <w:rsid w:val="000B0D1A"/>
    <w:rsid w:val="000B1AD7"/>
    <w:rsid w:val="000B1C8F"/>
    <w:rsid w:val="000B3041"/>
    <w:rsid w:val="000B38BC"/>
    <w:rsid w:val="000B4656"/>
    <w:rsid w:val="000B500F"/>
    <w:rsid w:val="000B515E"/>
    <w:rsid w:val="000B5215"/>
    <w:rsid w:val="000B6591"/>
    <w:rsid w:val="000B6E83"/>
    <w:rsid w:val="000B7734"/>
    <w:rsid w:val="000B7BE2"/>
    <w:rsid w:val="000C0129"/>
    <w:rsid w:val="000C0254"/>
    <w:rsid w:val="000C06CD"/>
    <w:rsid w:val="000C1893"/>
    <w:rsid w:val="000C4191"/>
    <w:rsid w:val="000C566E"/>
    <w:rsid w:val="000C652F"/>
    <w:rsid w:val="000C67FB"/>
    <w:rsid w:val="000D08C4"/>
    <w:rsid w:val="000D09DA"/>
    <w:rsid w:val="000D09E6"/>
    <w:rsid w:val="000D0DC5"/>
    <w:rsid w:val="000D13AA"/>
    <w:rsid w:val="000D1720"/>
    <w:rsid w:val="000D2028"/>
    <w:rsid w:val="000D2D7D"/>
    <w:rsid w:val="000D4785"/>
    <w:rsid w:val="000D565C"/>
    <w:rsid w:val="000D6216"/>
    <w:rsid w:val="000D6A09"/>
    <w:rsid w:val="000E01EF"/>
    <w:rsid w:val="000E06A5"/>
    <w:rsid w:val="000E1DDA"/>
    <w:rsid w:val="000E2153"/>
    <w:rsid w:val="000E2E16"/>
    <w:rsid w:val="000E4F36"/>
    <w:rsid w:val="000E539D"/>
    <w:rsid w:val="000E611C"/>
    <w:rsid w:val="000F19C2"/>
    <w:rsid w:val="000F34CC"/>
    <w:rsid w:val="000F35E4"/>
    <w:rsid w:val="000F561B"/>
    <w:rsid w:val="000F56E8"/>
    <w:rsid w:val="000F5F40"/>
    <w:rsid w:val="000F6110"/>
    <w:rsid w:val="000F6F4B"/>
    <w:rsid w:val="000F7ECF"/>
    <w:rsid w:val="000F7F69"/>
    <w:rsid w:val="001021E8"/>
    <w:rsid w:val="001026C1"/>
    <w:rsid w:val="00102CC2"/>
    <w:rsid w:val="00102F45"/>
    <w:rsid w:val="00103853"/>
    <w:rsid w:val="00104028"/>
    <w:rsid w:val="00104183"/>
    <w:rsid w:val="0010456B"/>
    <w:rsid w:val="00104881"/>
    <w:rsid w:val="00104C03"/>
    <w:rsid w:val="00104C31"/>
    <w:rsid w:val="00104F98"/>
    <w:rsid w:val="001054C3"/>
    <w:rsid w:val="00105BDF"/>
    <w:rsid w:val="001061D4"/>
    <w:rsid w:val="00106536"/>
    <w:rsid w:val="00106FE4"/>
    <w:rsid w:val="0010796C"/>
    <w:rsid w:val="00111617"/>
    <w:rsid w:val="00112528"/>
    <w:rsid w:val="00112A43"/>
    <w:rsid w:val="0011343C"/>
    <w:rsid w:val="001144C7"/>
    <w:rsid w:val="001167C0"/>
    <w:rsid w:val="00116933"/>
    <w:rsid w:val="00117F2E"/>
    <w:rsid w:val="00120293"/>
    <w:rsid w:val="00121C56"/>
    <w:rsid w:val="001220FC"/>
    <w:rsid w:val="001230FD"/>
    <w:rsid w:val="00123B76"/>
    <w:rsid w:val="001240D8"/>
    <w:rsid w:val="001246F7"/>
    <w:rsid w:val="0012471A"/>
    <w:rsid w:val="00124B89"/>
    <w:rsid w:val="00125C98"/>
    <w:rsid w:val="00125D81"/>
    <w:rsid w:val="001277A9"/>
    <w:rsid w:val="001318A4"/>
    <w:rsid w:val="00132FC9"/>
    <w:rsid w:val="001335AE"/>
    <w:rsid w:val="00133D25"/>
    <w:rsid w:val="00133F61"/>
    <w:rsid w:val="00134701"/>
    <w:rsid w:val="00136F77"/>
    <w:rsid w:val="001428AC"/>
    <w:rsid w:val="00142991"/>
    <w:rsid w:val="00145346"/>
    <w:rsid w:val="0014541F"/>
    <w:rsid w:val="00145D33"/>
    <w:rsid w:val="001474C3"/>
    <w:rsid w:val="0015032D"/>
    <w:rsid w:val="00151541"/>
    <w:rsid w:val="00151E65"/>
    <w:rsid w:val="001535B5"/>
    <w:rsid w:val="00153D07"/>
    <w:rsid w:val="00154423"/>
    <w:rsid w:val="001548F0"/>
    <w:rsid w:val="00154AB0"/>
    <w:rsid w:val="00155FAA"/>
    <w:rsid w:val="00156558"/>
    <w:rsid w:val="001572AA"/>
    <w:rsid w:val="00157EC1"/>
    <w:rsid w:val="0016025E"/>
    <w:rsid w:val="0016211B"/>
    <w:rsid w:val="00162DC6"/>
    <w:rsid w:val="001635E9"/>
    <w:rsid w:val="001636C2"/>
    <w:rsid w:val="00163966"/>
    <w:rsid w:val="00163AD0"/>
    <w:rsid w:val="00163D20"/>
    <w:rsid w:val="001645E0"/>
    <w:rsid w:val="00165D97"/>
    <w:rsid w:val="001663BF"/>
    <w:rsid w:val="00166432"/>
    <w:rsid w:val="0016676D"/>
    <w:rsid w:val="00170A10"/>
    <w:rsid w:val="00170B8F"/>
    <w:rsid w:val="001714B8"/>
    <w:rsid w:val="001729A3"/>
    <w:rsid w:val="00172F4D"/>
    <w:rsid w:val="00173A8E"/>
    <w:rsid w:val="00173E0D"/>
    <w:rsid w:val="001758DA"/>
    <w:rsid w:val="00175C93"/>
    <w:rsid w:val="00175DF5"/>
    <w:rsid w:val="00176090"/>
    <w:rsid w:val="0017746A"/>
    <w:rsid w:val="00182090"/>
    <w:rsid w:val="00184249"/>
    <w:rsid w:val="00184FCB"/>
    <w:rsid w:val="001854E2"/>
    <w:rsid w:val="00186951"/>
    <w:rsid w:val="0018723C"/>
    <w:rsid w:val="0019002E"/>
    <w:rsid w:val="00190792"/>
    <w:rsid w:val="00191A15"/>
    <w:rsid w:val="00191A8B"/>
    <w:rsid w:val="00192492"/>
    <w:rsid w:val="001936E8"/>
    <w:rsid w:val="001947BF"/>
    <w:rsid w:val="001962DD"/>
    <w:rsid w:val="0019632E"/>
    <w:rsid w:val="00196F9A"/>
    <w:rsid w:val="00197661"/>
    <w:rsid w:val="001A1466"/>
    <w:rsid w:val="001A28C1"/>
    <w:rsid w:val="001A2E51"/>
    <w:rsid w:val="001A3947"/>
    <w:rsid w:val="001A4978"/>
    <w:rsid w:val="001A6C74"/>
    <w:rsid w:val="001A6F2E"/>
    <w:rsid w:val="001A7987"/>
    <w:rsid w:val="001B01C9"/>
    <w:rsid w:val="001B0400"/>
    <w:rsid w:val="001B067D"/>
    <w:rsid w:val="001B1F4F"/>
    <w:rsid w:val="001B1F74"/>
    <w:rsid w:val="001B24DC"/>
    <w:rsid w:val="001B2659"/>
    <w:rsid w:val="001B32C0"/>
    <w:rsid w:val="001B440C"/>
    <w:rsid w:val="001B5920"/>
    <w:rsid w:val="001B5F8B"/>
    <w:rsid w:val="001B679C"/>
    <w:rsid w:val="001C00F7"/>
    <w:rsid w:val="001C0441"/>
    <w:rsid w:val="001C2176"/>
    <w:rsid w:val="001C2368"/>
    <w:rsid w:val="001C31EA"/>
    <w:rsid w:val="001C3C60"/>
    <w:rsid w:val="001C3E43"/>
    <w:rsid w:val="001C4860"/>
    <w:rsid w:val="001C5CAB"/>
    <w:rsid w:val="001C6347"/>
    <w:rsid w:val="001C6C17"/>
    <w:rsid w:val="001C6C52"/>
    <w:rsid w:val="001C6DB8"/>
    <w:rsid w:val="001C7F3A"/>
    <w:rsid w:val="001D0116"/>
    <w:rsid w:val="001D03A9"/>
    <w:rsid w:val="001D05A9"/>
    <w:rsid w:val="001D0F26"/>
    <w:rsid w:val="001D1071"/>
    <w:rsid w:val="001D18DE"/>
    <w:rsid w:val="001D278B"/>
    <w:rsid w:val="001D37EC"/>
    <w:rsid w:val="001D37EF"/>
    <w:rsid w:val="001D4542"/>
    <w:rsid w:val="001D4574"/>
    <w:rsid w:val="001D4D60"/>
    <w:rsid w:val="001D5025"/>
    <w:rsid w:val="001D54E8"/>
    <w:rsid w:val="001D5655"/>
    <w:rsid w:val="001D62C2"/>
    <w:rsid w:val="001E2065"/>
    <w:rsid w:val="001E21F6"/>
    <w:rsid w:val="001E3378"/>
    <w:rsid w:val="001E5BCC"/>
    <w:rsid w:val="001E6511"/>
    <w:rsid w:val="001E7143"/>
    <w:rsid w:val="001E7301"/>
    <w:rsid w:val="001F0C63"/>
    <w:rsid w:val="001F0C8D"/>
    <w:rsid w:val="001F0E3E"/>
    <w:rsid w:val="001F34A8"/>
    <w:rsid w:val="001F6CFF"/>
    <w:rsid w:val="001F6D2B"/>
    <w:rsid w:val="001F7DAC"/>
    <w:rsid w:val="00200562"/>
    <w:rsid w:val="0020193D"/>
    <w:rsid w:val="00203272"/>
    <w:rsid w:val="0020396B"/>
    <w:rsid w:val="00204439"/>
    <w:rsid w:val="0020451D"/>
    <w:rsid w:val="00204AA0"/>
    <w:rsid w:val="0020549A"/>
    <w:rsid w:val="00205569"/>
    <w:rsid w:val="00205B65"/>
    <w:rsid w:val="00205C54"/>
    <w:rsid w:val="0020633B"/>
    <w:rsid w:val="00206847"/>
    <w:rsid w:val="0021156B"/>
    <w:rsid w:val="002122A7"/>
    <w:rsid w:val="00212C2D"/>
    <w:rsid w:val="0021393B"/>
    <w:rsid w:val="002139A4"/>
    <w:rsid w:val="00213F89"/>
    <w:rsid w:val="00214A8B"/>
    <w:rsid w:val="00215FFD"/>
    <w:rsid w:val="0022017A"/>
    <w:rsid w:val="00220415"/>
    <w:rsid w:val="00223D34"/>
    <w:rsid w:val="00224EB6"/>
    <w:rsid w:val="0022512A"/>
    <w:rsid w:val="00225EFD"/>
    <w:rsid w:val="00226108"/>
    <w:rsid w:val="00227389"/>
    <w:rsid w:val="0023038F"/>
    <w:rsid w:val="002306DC"/>
    <w:rsid w:val="00231A75"/>
    <w:rsid w:val="002332DD"/>
    <w:rsid w:val="0023337F"/>
    <w:rsid w:val="00233855"/>
    <w:rsid w:val="00234078"/>
    <w:rsid w:val="002341ED"/>
    <w:rsid w:val="00234B48"/>
    <w:rsid w:val="00235125"/>
    <w:rsid w:val="0023517F"/>
    <w:rsid w:val="00236360"/>
    <w:rsid w:val="002369A1"/>
    <w:rsid w:val="002378F8"/>
    <w:rsid w:val="00240517"/>
    <w:rsid w:val="00241646"/>
    <w:rsid w:val="00241B4A"/>
    <w:rsid w:val="002427EA"/>
    <w:rsid w:val="00242C43"/>
    <w:rsid w:val="00245D50"/>
    <w:rsid w:val="00246E11"/>
    <w:rsid w:val="002474C4"/>
    <w:rsid w:val="00250118"/>
    <w:rsid w:val="00253504"/>
    <w:rsid w:val="002537C0"/>
    <w:rsid w:val="00253D9C"/>
    <w:rsid w:val="0025698B"/>
    <w:rsid w:val="002576C3"/>
    <w:rsid w:val="00262FC3"/>
    <w:rsid w:val="0026418B"/>
    <w:rsid w:val="00264BDA"/>
    <w:rsid w:val="002671DD"/>
    <w:rsid w:val="00267231"/>
    <w:rsid w:val="00267402"/>
    <w:rsid w:val="00267C3A"/>
    <w:rsid w:val="00267CC3"/>
    <w:rsid w:val="00267E8E"/>
    <w:rsid w:val="00267ED2"/>
    <w:rsid w:val="00270692"/>
    <w:rsid w:val="00271E48"/>
    <w:rsid w:val="00272FEF"/>
    <w:rsid w:val="0027337E"/>
    <w:rsid w:val="00273C97"/>
    <w:rsid w:val="00274202"/>
    <w:rsid w:val="0027498F"/>
    <w:rsid w:val="0027525D"/>
    <w:rsid w:val="00275CE6"/>
    <w:rsid w:val="0027637C"/>
    <w:rsid w:val="002765A3"/>
    <w:rsid w:val="0027733F"/>
    <w:rsid w:val="002776E6"/>
    <w:rsid w:val="0028012F"/>
    <w:rsid w:val="00280AC9"/>
    <w:rsid w:val="00280F59"/>
    <w:rsid w:val="0028113F"/>
    <w:rsid w:val="002812CC"/>
    <w:rsid w:val="0028268D"/>
    <w:rsid w:val="002827DC"/>
    <w:rsid w:val="00283A45"/>
    <w:rsid w:val="0028680E"/>
    <w:rsid w:val="00286D1E"/>
    <w:rsid w:val="0028744F"/>
    <w:rsid w:val="0029022A"/>
    <w:rsid w:val="002906C8"/>
    <w:rsid w:val="002919C4"/>
    <w:rsid w:val="00291B9B"/>
    <w:rsid w:val="00291D67"/>
    <w:rsid w:val="0029210E"/>
    <w:rsid w:val="002923A7"/>
    <w:rsid w:val="00292688"/>
    <w:rsid w:val="002928C4"/>
    <w:rsid w:val="002929FA"/>
    <w:rsid w:val="00292A35"/>
    <w:rsid w:val="00293E5F"/>
    <w:rsid w:val="00295BFC"/>
    <w:rsid w:val="00295F15"/>
    <w:rsid w:val="00296F43"/>
    <w:rsid w:val="00297B07"/>
    <w:rsid w:val="002A001E"/>
    <w:rsid w:val="002A01FA"/>
    <w:rsid w:val="002A0847"/>
    <w:rsid w:val="002A1352"/>
    <w:rsid w:val="002A1685"/>
    <w:rsid w:val="002A23E4"/>
    <w:rsid w:val="002A335E"/>
    <w:rsid w:val="002A4F32"/>
    <w:rsid w:val="002A5171"/>
    <w:rsid w:val="002A58DD"/>
    <w:rsid w:val="002A5C58"/>
    <w:rsid w:val="002A7F12"/>
    <w:rsid w:val="002B0A44"/>
    <w:rsid w:val="002B12F6"/>
    <w:rsid w:val="002B1A31"/>
    <w:rsid w:val="002B1DB7"/>
    <w:rsid w:val="002B3361"/>
    <w:rsid w:val="002B354C"/>
    <w:rsid w:val="002B73E9"/>
    <w:rsid w:val="002B7D5C"/>
    <w:rsid w:val="002C0394"/>
    <w:rsid w:val="002C36CA"/>
    <w:rsid w:val="002C5BC8"/>
    <w:rsid w:val="002C60B6"/>
    <w:rsid w:val="002D0308"/>
    <w:rsid w:val="002D0394"/>
    <w:rsid w:val="002D1401"/>
    <w:rsid w:val="002D2E12"/>
    <w:rsid w:val="002D61B9"/>
    <w:rsid w:val="002D6370"/>
    <w:rsid w:val="002D6AAB"/>
    <w:rsid w:val="002D6FB3"/>
    <w:rsid w:val="002D71B8"/>
    <w:rsid w:val="002E1354"/>
    <w:rsid w:val="002E1694"/>
    <w:rsid w:val="002E1FE2"/>
    <w:rsid w:val="002E4C9D"/>
    <w:rsid w:val="002E6883"/>
    <w:rsid w:val="002E7275"/>
    <w:rsid w:val="002F0164"/>
    <w:rsid w:val="002F0754"/>
    <w:rsid w:val="002F1C18"/>
    <w:rsid w:val="002F1C91"/>
    <w:rsid w:val="002F267D"/>
    <w:rsid w:val="002F271E"/>
    <w:rsid w:val="002F2F2D"/>
    <w:rsid w:val="002F31B2"/>
    <w:rsid w:val="002F42DA"/>
    <w:rsid w:val="002F5597"/>
    <w:rsid w:val="002F78D9"/>
    <w:rsid w:val="0030155C"/>
    <w:rsid w:val="003019A2"/>
    <w:rsid w:val="0030394A"/>
    <w:rsid w:val="003054BB"/>
    <w:rsid w:val="00306506"/>
    <w:rsid w:val="003069A5"/>
    <w:rsid w:val="003073EC"/>
    <w:rsid w:val="0030766F"/>
    <w:rsid w:val="0030778C"/>
    <w:rsid w:val="003104C4"/>
    <w:rsid w:val="00310EC0"/>
    <w:rsid w:val="00311DF0"/>
    <w:rsid w:val="0031274E"/>
    <w:rsid w:val="00312999"/>
    <w:rsid w:val="00312A12"/>
    <w:rsid w:val="00312C6F"/>
    <w:rsid w:val="00313545"/>
    <w:rsid w:val="00313914"/>
    <w:rsid w:val="00313AD1"/>
    <w:rsid w:val="00315942"/>
    <w:rsid w:val="00315A96"/>
    <w:rsid w:val="00315B10"/>
    <w:rsid w:val="00316977"/>
    <w:rsid w:val="003176FC"/>
    <w:rsid w:val="00317873"/>
    <w:rsid w:val="00317F16"/>
    <w:rsid w:val="00320142"/>
    <w:rsid w:val="00320E29"/>
    <w:rsid w:val="00323817"/>
    <w:rsid w:val="00324C4D"/>
    <w:rsid w:val="00325599"/>
    <w:rsid w:val="00326B4D"/>
    <w:rsid w:val="00327418"/>
    <w:rsid w:val="00330D9E"/>
    <w:rsid w:val="0033104D"/>
    <w:rsid w:val="003311B9"/>
    <w:rsid w:val="0033133A"/>
    <w:rsid w:val="00331E58"/>
    <w:rsid w:val="00333BFE"/>
    <w:rsid w:val="00334558"/>
    <w:rsid w:val="00335D54"/>
    <w:rsid w:val="0033677F"/>
    <w:rsid w:val="00336ED6"/>
    <w:rsid w:val="0033743C"/>
    <w:rsid w:val="003377B3"/>
    <w:rsid w:val="003401EC"/>
    <w:rsid w:val="0034033E"/>
    <w:rsid w:val="00340DCD"/>
    <w:rsid w:val="003411BD"/>
    <w:rsid w:val="00342009"/>
    <w:rsid w:val="003420CD"/>
    <w:rsid w:val="0034239C"/>
    <w:rsid w:val="003441DE"/>
    <w:rsid w:val="0034585B"/>
    <w:rsid w:val="00345C47"/>
    <w:rsid w:val="00345EBD"/>
    <w:rsid w:val="00346590"/>
    <w:rsid w:val="00346933"/>
    <w:rsid w:val="003503A5"/>
    <w:rsid w:val="00350C48"/>
    <w:rsid w:val="00352BE8"/>
    <w:rsid w:val="00352F64"/>
    <w:rsid w:val="00353B00"/>
    <w:rsid w:val="00353F74"/>
    <w:rsid w:val="003567C1"/>
    <w:rsid w:val="003572B4"/>
    <w:rsid w:val="00357523"/>
    <w:rsid w:val="00357AA5"/>
    <w:rsid w:val="00360620"/>
    <w:rsid w:val="00361D80"/>
    <w:rsid w:val="003620A2"/>
    <w:rsid w:val="00362540"/>
    <w:rsid w:val="00362D65"/>
    <w:rsid w:val="00362D7B"/>
    <w:rsid w:val="00364CF5"/>
    <w:rsid w:val="00364D91"/>
    <w:rsid w:val="003659F0"/>
    <w:rsid w:val="00365FD9"/>
    <w:rsid w:val="00366049"/>
    <w:rsid w:val="00370225"/>
    <w:rsid w:val="00370E0D"/>
    <w:rsid w:val="00370F04"/>
    <w:rsid w:val="00371064"/>
    <w:rsid w:val="003718B6"/>
    <w:rsid w:val="003723BF"/>
    <w:rsid w:val="00372868"/>
    <w:rsid w:val="00372B84"/>
    <w:rsid w:val="00372EDF"/>
    <w:rsid w:val="00373A3F"/>
    <w:rsid w:val="00374A9A"/>
    <w:rsid w:val="00375217"/>
    <w:rsid w:val="00376D34"/>
    <w:rsid w:val="003800F5"/>
    <w:rsid w:val="003802F4"/>
    <w:rsid w:val="00383F34"/>
    <w:rsid w:val="00384247"/>
    <w:rsid w:val="0038459E"/>
    <w:rsid w:val="00385CCE"/>
    <w:rsid w:val="00385D9C"/>
    <w:rsid w:val="00390436"/>
    <w:rsid w:val="0039060B"/>
    <w:rsid w:val="003906B9"/>
    <w:rsid w:val="0039082E"/>
    <w:rsid w:val="0039199D"/>
    <w:rsid w:val="00391A53"/>
    <w:rsid w:val="00391FF4"/>
    <w:rsid w:val="00392799"/>
    <w:rsid w:val="003929A0"/>
    <w:rsid w:val="00393229"/>
    <w:rsid w:val="0039371B"/>
    <w:rsid w:val="00395F84"/>
    <w:rsid w:val="0039608D"/>
    <w:rsid w:val="003A2B96"/>
    <w:rsid w:val="003A33B3"/>
    <w:rsid w:val="003A3DB2"/>
    <w:rsid w:val="003A5206"/>
    <w:rsid w:val="003A690F"/>
    <w:rsid w:val="003A6987"/>
    <w:rsid w:val="003A6B35"/>
    <w:rsid w:val="003A6BFE"/>
    <w:rsid w:val="003A7664"/>
    <w:rsid w:val="003B05FB"/>
    <w:rsid w:val="003B114E"/>
    <w:rsid w:val="003B267D"/>
    <w:rsid w:val="003B4282"/>
    <w:rsid w:val="003B51E5"/>
    <w:rsid w:val="003B5C5E"/>
    <w:rsid w:val="003B5D27"/>
    <w:rsid w:val="003B65CD"/>
    <w:rsid w:val="003B6781"/>
    <w:rsid w:val="003B70D9"/>
    <w:rsid w:val="003B7557"/>
    <w:rsid w:val="003C419C"/>
    <w:rsid w:val="003C499E"/>
    <w:rsid w:val="003C5589"/>
    <w:rsid w:val="003C57A0"/>
    <w:rsid w:val="003C5D9F"/>
    <w:rsid w:val="003C6872"/>
    <w:rsid w:val="003D028E"/>
    <w:rsid w:val="003D0905"/>
    <w:rsid w:val="003D0CD9"/>
    <w:rsid w:val="003D3E08"/>
    <w:rsid w:val="003D4A24"/>
    <w:rsid w:val="003D577C"/>
    <w:rsid w:val="003D58E3"/>
    <w:rsid w:val="003D7122"/>
    <w:rsid w:val="003D742E"/>
    <w:rsid w:val="003D778F"/>
    <w:rsid w:val="003E06EB"/>
    <w:rsid w:val="003E0E0B"/>
    <w:rsid w:val="003E4B83"/>
    <w:rsid w:val="003E54D6"/>
    <w:rsid w:val="003E6A92"/>
    <w:rsid w:val="003F065A"/>
    <w:rsid w:val="003F10E0"/>
    <w:rsid w:val="003F13BA"/>
    <w:rsid w:val="003F1833"/>
    <w:rsid w:val="003F3623"/>
    <w:rsid w:val="003F36B1"/>
    <w:rsid w:val="003F3933"/>
    <w:rsid w:val="003F3E64"/>
    <w:rsid w:val="003F464D"/>
    <w:rsid w:val="003F5564"/>
    <w:rsid w:val="003F5E5C"/>
    <w:rsid w:val="003F69F9"/>
    <w:rsid w:val="0040035A"/>
    <w:rsid w:val="0040352D"/>
    <w:rsid w:val="004062AC"/>
    <w:rsid w:val="004065E7"/>
    <w:rsid w:val="0040684F"/>
    <w:rsid w:val="00406873"/>
    <w:rsid w:val="00407DFD"/>
    <w:rsid w:val="0041018E"/>
    <w:rsid w:val="0041059C"/>
    <w:rsid w:val="00412F7E"/>
    <w:rsid w:val="004131C5"/>
    <w:rsid w:val="004144B5"/>
    <w:rsid w:val="00414654"/>
    <w:rsid w:val="00414956"/>
    <w:rsid w:val="004155B6"/>
    <w:rsid w:val="004165F7"/>
    <w:rsid w:val="00421377"/>
    <w:rsid w:val="00421410"/>
    <w:rsid w:val="00421EAF"/>
    <w:rsid w:val="00422C01"/>
    <w:rsid w:val="0042335E"/>
    <w:rsid w:val="00425519"/>
    <w:rsid w:val="0042634E"/>
    <w:rsid w:val="00426439"/>
    <w:rsid w:val="00426517"/>
    <w:rsid w:val="00426685"/>
    <w:rsid w:val="004269C5"/>
    <w:rsid w:val="00426C93"/>
    <w:rsid w:val="004275C2"/>
    <w:rsid w:val="0042774D"/>
    <w:rsid w:val="00430167"/>
    <w:rsid w:val="00430474"/>
    <w:rsid w:val="00430563"/>
    <w:rsid w:val="00431664"/>
    <w:rsid w:val="00431C92"/>
    <w:rsid w:val="00432DA9"/>
    <w:rsid w:val="00433B45"/>
    <w:rsid w:val="0043431E"/>
    <w:rsid w:val="0043532B"/>
    <w:rsid w:val="00435BE6"/>
    <w:rsid w:val="00435E5D"/>
    <w:rsid w:val="0043642D"/>
    <w:rsid w:val="00436CDD"/>
    <w:rsid w:val="00440CF8"/>
    <w:rsid w:val="00440FCC"/>
    <w:rsid w:val="004417ED"/>
    <w:rsid w:val="00441CAB"/>
    <w:rsid w:val="00441CCD"/>
    <w:rsid w:val="00442723"/>
    <w:rsid w:val="00443B09"/>
    <w:rsid w:val="00444729"/>
    <w:rsid w:val="00445CA3"/>
    <w:rsid w:val="00446418"/>
    <w:rsid w:val="00446B8F"/>
    <w:rsid w:val="0045103E"/>
    <w:rsid w:val="004562B6"/>
    <w:rsid w:val="0045695F"/>
    <w:rsid w:val="00457A30"/>
    <w:rsid w:val="00460BF2"/>
    <w:rsid w:val="004634EE"/>
    <w:rsid w:val="004639F6"/>
    <w:rsid w:val="00465785"/>
    <w:rsid w:val="004660BE"/>
    <w:rsid w:val="00466EDD"/>
    <w:rsid w:val="00467526"/>
    <w:rsid w:val="00467BCA"/>
    <w:rsid w:val="00470024"/>
    <w:rsid w:val="00470575"/>
    <w:rsid w:val="00471D43"/>
    <w:rsid w:val="0047269E"/>
    <w:rsid w:val="004741CE"/>
    <w:rsid w:val="004751CB"/>
    <w:rsid w:val="004768D9"/>
    <w:rsid w:val="00476FAE"/>
    <w:rsid w:val="00480020"/>
    <w:rsid w:val="00481703"/>
    <w:rsid w:val="00481B3D"/>
    <w:rsid w:val="0048271E"/>
    <w:rsid w:val="00482A96"/>
    <w:rsid w:val="004847C8"/>
    <w:rsid w:val="004849E4"/>
    <w:rsid w:val="00485B2C"/>
    <w:rsid w:val="004867E2"/>
    <w:rsid w:val="00486B61"/>
    <w:rsid w:val="00486D94"/>
    <w:rsid w:val="004909A7"/>
    <w:rsid w:val="004917EB"/>
    <w:rsid w:val="00491C54"/>
    <w:rsid w:val="00492470"/>
    <w:rsid w:val="00492913"/>
    <w:rsid w:val="0049293A"/>
    <w:rsid w:val="00493064"/>
    <w:rsid w:val="0049534A"/>
    <w:rsid w:val="00495E4C"/>
    <w:rsid w:val="00495F90"/>
    <w:rsid w:val="00496724"/>
    <w:rsid w:val="004968A7"/>
    <w:rsid w:val="0049749B"/>
    <w:rsid w:val="00497FFC"/>
    <w:rsid w:val="004A0C9C"/>
    <w:rsid w:val="004A1AC9"/>
    <w:rsid w:val="004A1E39"/>
    <w:rsid w:val="004A2773"/>
    <w:rsid w:val="004A2EC0"/>
    <w:rsid w:val="004A3885"/>
    <w:rsid w:val="004A3F11"/>
    <w:rsid w:val="004A513B"/>
    <w:rsid w:val="004A59CF"/>
    <w:rsid w:val="004A5C60"/>
    <w:rsid w:val="004A5FDA"/>
    <w:rsid w:val="004A664E"/>
    <w:rsid w:val="004B04EC"/>
    <w:rsid w:val="004B105F"/>
    <w:rsid w:val="004B15FD"/>
    <w:rsid w:val="004B2174"/>
    <w:rsid w:val="004B3112"/>
    <w:rsid w:val="004B38C0"/>
    <w:rsid w:val="004B3E50"/>
    <w:rsid w:val="004B4099"/>
    <w:rsid w:val="004B548B"/>
    <w:rsid w:val="004B7853"/>
    <w:rsid w:val="004B7901"/>
    <w:rsid w:val="004B7BD4"/>
    <w:rsid w:val="004B7C7F"/>
    <w:rsid w:val="004B7D3A"/>
    <w:rsid w:val="004B7E68"/>
    <w:rsid w:val="004C078E"/>
    <w:rsid w:val="004C08AE"/>
    <w:rsid w:val="004C15DA"/>
    <w:rsid w:val="004C18C7"/>
    <w:rsid w:val="004C3155"/>
    <w:rsid w:val="004C3232"/>
    <w:rsid w:val="004C3354"/>
    <w:rsid w:val="004C3640"/>
    <w:rsid w:val="004C516C"/>
    <w:rsid w:val="004C5EDB"/>
    <w:rsid w:val="004C68F2"/>
    <w:rsid w:val="004C72C5"/>
    <w:rsid w:val="004C7FB8"/>
    <w:rsid w:val="004D09B3"/>
    <w:rsid w:val="004D1432"/>
    <w:rsid w:val="004D1632"/>
    <w:rsid w:val="004D1D87"/>
    <w:rsid w:val="004D217F"/>
    <w:rsid w:val="004D2789"/>
    <w:rsid w:val="004D364E"/>
    <w:rsid w:val="004D56DA"/>
    <w:rsid w:val="004D5B7A"/>
    <w:rsid w:val="004D5BFE"/>
    <w:rsid w:val="004D6214"/>
    <w:rsid w:val="004D6435"/>
    <w:rsid w:val="004D71DE"/>
    <w:rsid w:val="004D794B"/>
    <w:rsid w:val="004E0DEE"/>
    <w:rsid w:val="004E1A70"/>
    <w:rsid w:val="004E1B68"/>
    <w:rsid w:val="004E1CAE"/>
    <w:rsid w:val="004E2129"/>
    <w:rsid w:val="004E280A"/>
    <w:rsid w:val="004E2A04"/>
    <w:rsid w:val="004E2D3E"/>
    <w:rsid w:val="004E526F"/>
    <w:rsid w:val="004E6153"/>
    <w:rsid w:val="004E711D"/>
    <w:rsid w:val="004E7236"/>
    <w:rsid w:val="004E78C7"/>
    <w:rsid w:val="004E7A6C"/>
    <w:rsid w:val="004E7AA2"/>
    <w:rsid w:val="004F37D1"/>
    <w:rsid w:val="004F74D6"/>
    <w:rsid w:val="004F754D"/>
    <w:rsid w:val="004F78EA"/>
    <w:rsid w:val="00500442"/>
    <w:rsid w:val="00500E5F"/>
    <w:rsid w:val="005011D8"/>
    <w:rsid w:val="00501BDD"/>
    <w:rsid w:val="00502691"/>
    <w:rsid w:val="00502AFA"/>
    <w:rsid w:val="00503D3A"/>
    <w:rsid w:val="00503F9B"/>
    <w:rsid w:val="00504E2B"/>
    <w:rsid w:val="005053B8"/>
    <w:rsid w:val="0050578D"/>
    <w:rsid w:val="00506D5F"/>
    <w:rsid w:val="005073E5"/>
    <w:rsid w:val="00507615"/>
    <w:rsid w:val="00507FFA"/>
    <w:rsid w:val="00510FCB"/>
    <w:rsid w:val="00513F40"/>
    <w:rsid w:val="00513F9C"/>
    <w:rsid w:val="0051529A"/>
    <w:rsid w:val="00515479"/>
    <w:rsid w:val="00515FD0"/>
    <w:rsid w:val="00517044"/>
    <w:rsid w:val="00517401"/>
    <w:rsid w:val="00520665"/>
    <w:rsid w:val="005206A0"/>
    <w:rsid w:val="00520CEF"/>
    <w:rsid w:val="00522C55"/>
    <w:rsid w:val="005239C4"/>
    <w:rsid w:val="00524504"/>
    <w:rsid w:val="00524BA9"/>
    <w:rsid w:val="00525118"/>
    <w:rsid w:val="0052566A"/>
    <w:rsid w:val="005273DF"/>
    <w:rsid w:val="005304B9"/>
    <w:rsid w:val="00531510"/>
    <w:rsid w:val="00531768"/>
    <w:rsid w:val="005322E5"/>
    <w:rsid w:val="00532B9E"/>
    <w:rsid w:val="00534630"/>
    <w:rsid w:val="005349D2"/>
    <w:rsid w:val="00535421"/>
    <w:rsid w:val="00536B61"/>
    <w:rsid w:val="00541088"/>
    <w:rsid w:val="00541976"/>
    <w:rsid w:val="00541D82"/>
    <w:rsid w:val="00542777"/>
    <w:rsid w:val="005437DC"/>
    <w:rsid w:val="00544600"/>
    <w:rsid w:val="005463FE"/>
    <w:rsid w:val="00546515"/>
    <w:rsid w:val="0054701E"/>
    <w:rsid w:val="0054781D"/>
    <w:rsid w:val="00547DD1"/>
    <w:rsid w:val="005510F6"/>
    <w:rsid w:val="0055119B"/>
    <w:rsid w:val="00552F5D"/>
    <w:rsid w:val="00553376"/>
    <w:rsid w:val="00553B45"/>
    <w:rsid w:val="005554C2"/>
    <w:rsid w:val="005567D4"/>
    <w:rsid w:val="00556F46"/>
    <w:rsid w:val="005610C0"/>
    <w:rsid w:val="0056133A"/>
    <w:rsid w:val="00563223"/>
    <w:rsid w:val="00563279"/>
    <w:rsid w:val="00564AD3"/>
    <w:rsid w:val="00564F88"/>
    <w:rsid w:val="005654BB"/>
    <w:rsid w:val="00566BED"/>
    <w:rsid w:val="005703C1"/>
    <w:rsid w:val="0057190A"/>
    <w:rsid w:val="00573449"/>
    <w:rsid w:val="00574CC3"/>
    <w:rsid w:val="00575023"/>
    <w:rsid w:val="00575B87"/>
    <w:rsid w:val="00577A93"/>
    <w:rsid w:val="00577C9B"/>
    <w:rsid w:val="0058063D"/>
    <w:rsid w:val="00580DBC"/>
    <w:rsid w:val="0058133D"/>
    <w:rsid w:val="00581C09"/>
    <w:rsid w:val="005823D2"/>
    <w:rsid w:val="00582A9A"/>
    <w:rsid w:val="00583242"/>
    <w:rsid w:val="0058413F"/>
    <w:rsid w:val="00584A55"/>
    <w:rsid w:val="00584EB0"/>
    <w:rsid w:val="005852FA"/>
    <w:rsid w:val="00585F9B"/>
    <w:rsid w:val="00587524"/>
    <w:rsid w:val="00587BC9"/>
    <w:rsid w:val="0059199E"/>
    <w:rsid w:val="00591C60"/>
    <w:rsid w:val="00593B0A"/>
    <w:rsid w:val="005943B7"/>
    <w:rsid w:val="00594FDF"/>
    <w:rsid w:val="00596894"/>
    <w:rsid w:val="00596BAD"/>
    <w:rsid w:val="00597EFE"/>
    <w:rsid w:val="005A05FF"/>
    <w:rsid w:val="005A07C1"/>
    <w:rsid w:val="005A0CE9"/>
    <w:rsid w:val="005A1791"/>
    <w:rsid w:val="005A18E8"/>
    <w:rsid w:val="005A295F"/>
    <w:rsid w:val="005A4756"/>
    <w:rsid w:val="005A4FD2"/>
    <w:rsid w:val="005A5336"/>
    <w:rsid w:val="005A7C02"/>
    <w:rsid w:val="005B19D5"/>
    <w:rsid w:val="005B2541"/>
    <w:rsid w:val="005B3313"/>
    <w:rsid w:val="005B3404"/>
    <w:rsid w:val="005B34F7"/>
    <w:rsid w:val="005B3F07"/>
    <w:rsid w:val="005B4B95"/>
    <w:rsid w:val="005B527C"/>
    <w:rsid w:val="005B5478"/>
    <w:rsid w:val="005B6840"/>
    <w:rsid w:val="005B6F1E"/>
    <w:rsid w:val="005B72B8"/>
    <w:rsid w:val="005C0923"/>
    <w:rsid w:val="005C1AC2"/>
    <w:rsid w:val="005C1D38"/>
    <w:rsid w:val="005C22C5"/>
    <w:rsid w:val="005C457C"/>
    <w:rsid w:val="005C5E93"/>
    <w:rsid w:val="005C6683"/>
    <w:rsid w:val="005C70F9"/>
    <w:rsid w:val="005C71E9"/>
    <w:rsid w:val="005C72BA"/>
    <w:rsid w:val="005C7F56"/>
    <w:rsid w:val="005D06DA"/>
    <w:rsid w:val="005D3924"/>
    <w:rsid w:val="005D3BC4"/>
    <w:rsid w:val="005D4B2E"/>
    <w:rsid w:val="005D4DD8"/>
    <w:rsid w:val="005D4E45"/>
    <w:rsid w:val="005D5295"/>
    <w:rsid w:val="005D55C6"/>
    <w:rsid w:val="005D570D"/>
    <w:rsid w:val="005D7727"/>
    <w:rsid w:val="005D7A84"/>
    <w:rsid w:val="005E00D8"/>
    <w:rsid w:val="005E1128"/>
    <w:rsid w:val="005E1B15"/>
    <w:rsid w:val="005E3005"/>
    <w:rsid w:val="005E3A54"/>
    <w:rsid w:val="005E417E"/>
    <w:rsid w:val="005E42BE"/>
    <w:rsid w:val="005E4926"/>
    <w:rsid w:val="005E4D75"/>
    <w:rsid w:val="005E62EB"/>
    <w:rsid w:val="005E6446"/>
    <w:rsid w:val="005E7E2B"/>
    <w:rsid w:val="005F06B3"/>
    <w:rsid w:val="005F0CED"/>
    <w:rsid w:val="005F3F70"/>
    <w:rsid w:val="005F4692"/>
    <w:rsid w:val="005F55EF"/>
    <w:rsid w:val="005F581E"/>
    <w:rsid w:val="005F593A"/>
    <w:rsid w:val="00601823"/>
    <w:rsid w:val="00602E7A"/>
    <w:rsid w:val="0060335A"/>
    <w:rsid w:val="006033EC"/>
    <w:rsid w:val="0060360B"/>
    <w:rsid w:val="00603668"/>
    <w:rsid w:val="0060495A"/>
    <w:rsid w:val="00605118"/>
    <w:rsid w:val="00605240"/>
    <w:rsid w:val="00605FEB"/>
    <w:rsid w:val="00606273"/>
    <w:rsid w:val="00606A96"/>
    <w:rsid w:val="006073A2"/>
    <w:rsid w:val="00610BA7"/>
    <w:rsid w:val="00612D8B"/>
    <w:rsid w:val="00613DBC"/>
    <w:rsid w:val="0061475F"/>
    <w:rsid w:val="00614F57"/>
    <w:rsid w:val="006151F8"/>
    <w:rsid w:val="00615679"/>
    <w:rsid w:val="00615DB8"/>
    <w:rsid w:val="00616501"/>
    <w:rsid w:val="006168C7"/>
    <w:rsid w:val="00616F28"/>
    <w:rsid w:val="00616FCD"/>
    <w:rsid w:val="00617B69"/>
    <w:rsid w:val="00620673"/>
    <w:rsid w:val="00620724"/>
    <w:rsid w:val="00620F5D"/>
    <w:rsid w:val="006212F2"/>
    <w:rsid w:val="00621AFF"/>
    <w:rsid w:val="0062301F"/>
    <w:rsid w:val="00623A7B"/>
    <w:rsid w:val="0062433B"/>
    <w:rsid w:val="00624512"/>
    <w:rsid w:val="00624F8E"/>
    <w:rsid w:val="00626F21"/>
    <w:rsid w:val="0062731D"/>
    <w:rsid w:val="00627BD8"/>
    <w:rsid w:val="0063145A"/>
    <w:rsid w:val="00632942"/>
    <w:rsid w:val="006332FE"/>
    <w:rsid w:val="00634AE2"/>
    <w:rsid w:val="00635027"/>
    <w:rsid w:val="00640AEA"/>
    <w:rsid w:val="00640B06"/>
    <w:rsid w:val="00641E84"/>
    <w:rsid w:val="00641ED6"/>
    <w:rsid w:val="006421E3"/>
    <w:rsid w:val="006434BE"/>
    <w:rsid w:val="00643D8E"/>
    <w:rsid w:val="00643EF2"/>
    <w:rsid w:val="0064403B"/>
    <w:rsid w:val="00644E04"/>
    <w:rsid w:val="00644E8F"/>
    <w:rsid w:val="00645E04"/>
    <w:rsid w:val="00646101"/>
    <w:rsid w:val="00646372"/>
    <w:rsid w:val="006473CD"/>
    <w:rsid w:val="00647D45"/>
    <w:rsid w:val="006508E2"/>
    <w:rsid w:val="0065228A"/>
    <w:rsid w:val="0065288D"/>
    <w:rsid w:val="00652A78"/>
    <w:rsid w:val="00652BE4"/>
    <w:rsid w:val="00654879"/>
    <w:rsid w:val="00654D5D"/>
    <w:rsid w:val="0065503A"/>
    <w:rsid w:val="00655C12"/>
    <w:rsid w:val="006572AC"/>
    <w:rsid w:val="00657D4E"/>
    <w:rsid w:val="00660796"/>
    <w:rsid w:val="00660C84"/>
    <w:rsid w:val="0066152A"/>
    <w:rsid w:val="006628F0"/>
    <w:rsid w:val="00663E2F"/>
    <w:rsid w:val="0066579A"/>
    <w:rsid w:val="00665C20"/>
    <w:rsid w:val="0066688F"/>
    <w:rsid w:val="00667274"/>
    <w:rsid w:val="00670352"/>
    <w:rsid w:val="006704C3"/>
    <w:rsid w:val="00671518"/>
    <w:rsid w:val="00672348"/>
    <w:rsid w:val="00672795"/>
    <w:rsid w:val="00672A8A"/>
    <w:rsid w:val="00672D3B"/>
    <w:rsid w:val="00672EB2"/>
    <w:rsid w:val="00673786"/>
    <w:rsid w:val="006739A1"/>
    <w:rsid w:val="00673A7B"/>
    <w:rsid w:val="006747F1"/>
    <w:rsid w:val="006750D0"/>
    <w:rsid w:val="006758DB"/>
    <w:rsid w:val="00675DB4"/>
    <w:rsid w:val="006763D0"/>
    <w:rsid w:val="006764D4"/>
    <w:rsid w:val="006779FA"/>
    <w:rsid w:val="00680067"/>
    <w:rsid w:val="00680176"/>
    <w:rsid w:val="00680C60"/>
    <w:rsid w:val="00682657"/>
    <w:rsid w:val="00682685"/>
    <w:rsid w:val="00685329"/>
    <w:rsid w:val="006859D5"/>
    <w:rsid w:val="0069029C"/>
    <w:rsid w:val="00690F6F"/>
    <w:rsid w:val="00692A17"/>
    <w:rsid w:val="0069309A"/>
    <w:rsid w:val="00693631"/>
    <w:rsid w:val="00694B7F"/>
    <w:rsid w:val="0069779B"/>
    <w:rsid w:val="00697B0C"/>
    <w:rsid w:val="006A062C"/>
    <w:rsid w:val="006A0A0B"/>
    <w:rsid w:val="006A0B67"/>
    <w:rsid w:val="006A0F62"/>
    <w:rsid w:val="006A1A6C"/>
    <w:rsid w:val="006A271A"/>
    <w:rsid w:val="006A2A92"/>
    <w:rsid w:val="006A2ADC"/>
    <w:rsid w:val="006A3088"/>
    <w:rsid w:val="006A3153"/>
    <w:rsid w:val="006A3355"/>
    <w:rsid w:val="006A4673"/>
    <w:rsid w:val="006A4B0B"/>
    <w:rsid w:val="006A5DE6"/>
    <w:rsid w:val="006A68C2"/>
    <w:rsid w:val="006A6BAE"/>
    <w:rsid w:val="006A6C6A"/>
    <w:rsid w:val="006A772A"/>
    <w:rsid w:val="006B08D6"/>
    <w:rsid w:val="006B171D"/>
    <w:rsid w:val="006B1BC4"/>
    <w:rsid w:val="006B4F40"/>
    <w:rsid w:val="006B5508"/>
    <w:rsid w:val="006B6FCA"/>
    <w:rsid w:val="006B799E"/>
    <w:rsid w:val="006B7D8B"/>
    <w:rsid w:val="006C0327"/>
    <w:rsid w:val="006C175E"/>
    <w:rsid w:val="006C242F"/>
    <w:rsid w:val="006C309F"/>
    <w:rsid w:val="006C36A0"/>
    <w:rsid w:val="006C37CD"/>
    <w:rsid w:val="006C3CB9"/>
    <w:rsid w:val="006C4D63"/>
    <w:rsid w:val="006C53DA"/>
    <w:rsid w:val="006C5F96"/>
    <w:rsid w:val="006C6BF2"/>
    <w:rsid w:val="006C7FAA"/>
    <w:rsid w:val="006D0650"/>
    <w:rsid w:val="006D1EAF"/>
    <w:rsid w:val="006D2E5A"/>
    <w:rsid w:val="006D461C"/>
    <w:rsid w:val="006D52B2"/>
    <w:rsid w:val="006D753C"/>
    <w:rsid w:val="006D7DF2"/>
    <w:rsid w:val="006E0113"/>
    <w:rsid w:val="006E0172"/>
    <w:rsid w:val="006E1608"/>
    <w:rsid w:val="006E47DB"/>
    <w:rsid w:val="006E590A"/>
    <w:rsid w:val="006E5D7F"/>
    <w:rsid w:val="006E65CC"/>
    <w:rsid w:val="006E6689"/>
    <w:rsid w:val="006E79BA"/>
    <w:rsid w:val="006E7A47"/>
    <w:rsid w:val="006E7DAB"/>
    <w:rsid w:val="006E7EEE"/>
    <w:rsid w:val="006E7F7F"/>
    <w:rsid w:val="006F01DF"/>
    <w:rsid w:val="006F024A"/>
    <w:rsid w:val="006F02FC"/>
    <w:rsid w:val="006F121C"/>
    <w:rsid w:val="006F1745"/>
    <w:rsid w:val="006F23E5"/>
    <w:rsid w:val="006F4A34"/>
    <w:rsid w:val="006F5EBC"/>
    <w:rsid w:val="006F641F"/>
    <w:rsid w:val="006F7ADF"/>
    <w:rsid w:val="00700E68"/>
    <w:rsid w:val="00701B2B"/>
    <w:rsid w:val="00701E05"/>
    <w:rsid w:val="00701FD4"/>
    <w:rsid w:val="007029CD"/>
    <w:rsid w:val="0070318D"/>
    <w:rsid w:val="0070355A"/>
    <w:rsid w:val="007037A1"/>
    <w:rsid w:val="007053B7"/>
    <w:rsid w:val="00705C69"/>
    <w:rsid w:val="007072E8"/>
    <w:rsid w:val="0070777C"/>
    <w:rsid w:val="007102F4"/>
    <w:rsid w:val="0071071B"/>
    <w:rsid w:val="007135A3"/>
    <w:rsid w:val="00713829"/>
    <w:rsid w:val="007138FF"/>
    <w:rsid w:val="00714941"/>
    <w:rsid w:val="007154A6"/>
    <w:rsid w:val="007158D9"/>
    <w:rsid w:val="0071635F"/>
    <w:rsid w:val="00716645"/>
    <w:rsid w:val="00716BA2"/>
    <w:rsid w:val="00721A2F"/>
    <w:rsid w:val="007221BE"/>
    <w:rsid w:val="00722FB0"/>
    <w:rsid w:val="00722FEC"/>
    <w:rsid w:val="00723290"/>
    <w:rsid w:val="00723B69"/>
    <w:rsid w:val="00724245"/>
    <w:rsid w:val="0072653D"/>
    <w:rsid w:val="00726AAA"/>
    <w:rsid w:val="00730CE4"/>
    <w:rsid w:val="00732121"/>
    <w:rsid w:val="0073342D"/>
    <w:rsid w:val="0073497E"/>
    <w:rsid w:val="00740D07"/>
    <w:rsid w:val="0074102F"/>
    <w:rsid w:val="00741511"/>
    <w:rsid w:val="00741E99"/>
    <w:rsid w:val="00741EC3"/>
    <w:rsid w:val="007424FE"/>
    <w:rsid w:val="0074259A"/>
    <w:rsid w:val="00743657"/>
    <w:rsid w:val="007439D3"/>
    <w:rsid w:val="0074437E"/>
    <w:rsid w:val="00744C3D"/>
    <w:rsid w:val="00745236"/>
    <w:rsid w:val="00746C35"/>
    <w:rsid w:val="00750F6A"/>
    <w:rsid w:val="007521BB"/>
    <w:rsid w:val="00753403"/>
    <w:rsid w:val="00753C25"/>
    <w:rsid w:val="00754528"/>
    <w:rsid w:val="00754CFF"/>
    <w:rsid w:val="0075523C"/>
    <w:rsid w:val="00755A22"/>
    <w:rsid w:val="007576E9"/>
    <w:rsid w:val="00760989"/>
    <w:rsid w:val="00761A12"/>
    <w:rsid w:val="00761D9D"/>
    <w:rsid w:val="00762445"/>
    <w:rsid w:val="00762CC9"/>
    <w:rsid w:val="00763430"/>
    <w:rsid w:val="00764624"/>
    <w:rsid w:val="007647E2"/>
    <w:rsid w:val="00764D9D"/>
    <w:rsid w:val="00764FAD"/>
    <w:rsid w:val="00765831"/>
    <w:rsid w:val="00766D90"/>
    <w:rsid w:val="00766E70"/>
    <w:rsid w:val="00766EBA"/>
    <w:rsid w:val="0077057E"/>
    <w:rsid w:val="00770685"/>
    <w:rsid w:val="00770AEC"/>
    <w:rsid w:val="00771B24"/>
    <w:rsid w:val="0077262F"/>
    <w:rsid w:val="00774EA1"/>
    <w:rsid w:val="007762F4"/>
    <w:rsid w:val="007806EA"/>
    <w:rsid w:val="007816DC"/>
    <w:rsid w:val="0078198C"/>
    <w:rsid w:val="00782335"/>
    <w:rsid w:val="00782539"/>
    <w:rsid w:val="00782A6B"/>
    <w:rsid w:val="00785228"/>
    <w:rsid w:val="007860C9"/>
    <w:rsid w:val="0078625D"/>
    <w:rsid w:val="00786C78"/>
    <w:rsid w:val="00790435"/>
    <w:rsid w:val="00791A3E"/>
    <w:rsid w:val="007924EC"/>
    <w:rsid w:val="0079429F"/>
    <w:rsid w:val="00795A94"/>
    <w:rsid w:val="00797182"/>
    <w:rsid w:val="007A1D94"/>
    <w:rsid w:val="007A3283"/>
    <w:rsid w:val="007A4290"/>
    <w:rsid w:val="007A44B2"/>
    <w:rsid w:val="007A4C19"/>
    <w:rsid w:val="007A5A1E"/>
    <w:rsid w:val="007A6E60"/>
    <w:rsid w:val="007B0C6B"/>
    <w:rsid w:val="007B1175"/>
    <w:rsid w:val="007B139B"/>
    <w:rsid w:val="007B2315"/>
    <w:rsid w:val="007B24F5"/>
    <w:rsid w:val="007B25E2"/>
    <w:rsid w:val="007B3AAF"/>
    <w:rsid w:val="007B4F39"/>
    <w:rsid w:val="007B60F1"/>
    <w:rsid w:val="007B651C"/>
    <w:rsid w:val="007B7B30"/>
    <w:rsid w:val="007C0F09"/>
    <w:rsid w:val="007C1754"/>
    <w:rsid w:val="007C1DB8"/>
    <w:rsid w:val="007C20C3"/>
    <w:rsid w:val="007C2274"/>
    <w:rsid w:val="007C227C"/>
    <w:rsid w:val="007C2483"/>
    <w:rsid w:val="007C39FE"/>
    <w:rsid w:val="007C6103"/>
    <w:rsid w:val="007C7446"/>
    <w:rsid w:val="007D02FD"/>
    <w:rsid w:val="007D05C2"/>
    <w:rsid w:val="007D1B16"/>
    <w:rsid w:val="007D1D49"/>
    <w:rsid w:val="007D276C"/>
    <w:rsid w:val="007D326A"/>
    <w:rsid w:val="007D40DD"/>
    <w:rsid w:val="007D5D4C"/>
    <w:rsid w:val="007D65F4"/>
    <w:rsid w:val="007D7290"/>
    <w:rsid w:val="007D785F"/>
    <w:rsid w:val="007D7C5C"/>
    <w:rsid w:val="007E025D"/>
    <w:rsid w:val="007E129E"/>
    <w:rsid w:val="007E27A4"/>
    <w:rsid w:val="007E398B"/>
    <w:rsid w:val="007E495B"/>
    <w:rsid w:val="007E4AC5"/>
    <w:rsid w:val="007E5875"/>
    <w:rsid w:val="007E5A01"/>
    <w:rsid w:val="007E5ADC"/>
    <w:rsid w:val="007E5B28"/>
    <w:rsid w:val="007E5B72"/>
    <w:rsid w:val="007E6C9A"/>
    <w:rsid w:val="007E6F80"/>
    <w:rsid w:val="007E71CC"/>
    <w:rsid w:val="007F0C64"/>
    <w:rsid w:val="007F1DB7"/>
    <w:rsid w:val="007F2465"/>
    <w:rsid w:val="007F3CAC"/>
    <w:rsid w:val="007F4919"/>
    <w:rsid w:val="007F4CBC"/>
    <w:rsid w:val="007F6072"/>
    <w:rsid w:val="007F6816"/>
    <w:rsid w:val="007F6AB1"/>
    <w:rsid w:val="007F7DA9"/>
    <w:rsid w:val="0080005B"/>
    <w:rsid w:val="00800B87"/>
    <w:rsid w:val="0080282B"/>
    <w:rsid w:val="0080362F"/>
    <w:rsid w:val="008048D8"/>
    <w:rsid w:val="0080541F"/>
    <w:rsid w:val="008056B4"/>
    <w:rsid w:val="00806917"/>
    <w:rsid w:val="00806AA7"/>
    <w:rsid w:val="00807486"/>
    <w:rsid w:val="008105D1"/>
    <w:rsid w:val="008118BB"/>
    <w:rsid w:val="008119B5"/>
    <w:rsid w:val="00811D8B"/>
    <w:rsid w:val="0081239B"/>
    <w:rsid w:val="00812CE6"/>
    <w:rsid w:val="00812EE2"/>
    <w:rsid w:val="00813EF2"/>
    <w:rsid w:val="00813F04"/>
    <w:rsid w:val="008142AF"/>
    <w:rsid w:val="0081583B"/>
    <w:rsid w:val="00815D20"/>
    <w:rsid w:val="00815F8B"/>
    <w:rsid w:val="00817117"/>
    <w:rsid w:val="00817460"/>
    <w:rsid w:val="00817823"/>
    <w:rsid w:val="008211AC"/>
    <w:rsid w:val="0082262F"/>
    <w:rsid w:val="00823353"/>
    <w:rsid w:val="0082407B"/>
    <w:rsid w:val="008241FD"/>
    <w:rsid w:val="00825EBB"/>
    <w:rsid w:val="00826739"/>
    <w:rsid w:val="00826A12"/>
    <w:rsid w:val="0083096E"/>
    <w:rsid w:val="00831372"/>
    <w:rsid w:val="00831861"/>
    <w:rsid w:val="008319DB"/>
    <w:rsid w:val="00832267"/>
    <w:rsid w:val="0083262A"/>
    <w:rsid w:val="00833985"/>
    <w:rsid w:val="00833F2B"/>
    <w:rsid w:val="008357AF"/>
    <w:rsid w:val="008359E5"/>
    <w:rsid w:val="0083743E"/>
    <w:rsid w:val="00837C2D"/>
    <w:rsid w:val="00840390"/>
    <w:rsid w:val="00840FEB"/>
    <w:rsid w:val="008413B4"/>
    <w:rsid w:val="008413D3"/>
    <w:rsid w:val="00843172"/>
    <w:rsid w:val="0084358B"/>
    <w:rsid w:val="00844A2F"/>
    <w:rsid w:val="008460BE"/>
    <w:rsid w:val="008462CA"/>
    <w:rsid w:val="00846F16"/>
    <w:rsid w:val="00851108"/>
    <w:rsid w:val="0085177E"/>
    <w:rsid w:val="0085235F"/>
    <w:rsid w:val="00854CA6"/>
    <w:rsid w:val="0085631A"/>
    <w:rsid w:val="00856891"/>
    <w:rsid w:val="00856991"/>
    <w:rsid w:val="00857369"/>
    <w:rsid w:val="00857B60"/>
    <w:rsid w:val="00857FE7"/>
    <w:rsid w:val="00861C3D"/>
    <w:rsid w:val="00862F07"/>
    <w:rsid w:val="0086359F"/>
    <w:rsid w:val="0086400D"/>
    <w:rsid w:val="00864BA4"/>
    <w:rsid w:val="00865F1C"/>
    <w:rsid w:val="00867E48"/>
    <w:rsid w:val="00867E85"/>
    <w:rsid w:val="00870F00"/>
    <w:rsid w:val="00871C96"/>
    <w:rsid w:val="00872D75"/>
    <w:rsid w:val="00872E47"/>
    <w:rsid w:val="00873BC8"/>
    <w:rsid w:val="00875532"/>
    <w:rsid w:val="00876903"/>
    <w:rsid w:val="00877084"/>
    <w:rsid w:val="00881467"/>
    <w:rsid w:val="008816F3"/>
    <w:rsid w:val="00883D76"/>
    <w:rsid w:val="00883DBA"/>
    <w:rsid w:val="00885091"/>
    <w:rsid w:val="00885557"/>
    <w:rsid w:val="00885CD2"/>
    <w:rsid w:val="008871F8"/>
    <w:rsid w:val="00890E40"/>
    <w:rsid w:val="0089219D"/>
    <w:rsid w:val="00892654"/>
    <w:rsid w:val="00892C62"/>
    <w:rsid w:val="008942E1"/>
    <w:rsid w:val="008942EE"/>
    <w:rsid w:val="0089595D"/>
    <w:rsid w:val="00896660"/>
    <w:rsid w:val="00896989"/>
    <w:rsid w:val="00896E57"/>
    <w:rsid w:val="00897270"/>
    <w:rsid w:val="008975D5"/>
    <w:rsid w:val="008A04E0"/>
    <w:rsid w:val="008A082B"/>
    <w:rsid w:val="008A08EF"/>
    <w:rsid w:val="008A111C"/>
    <w:rsid w:val="008A1965"/>
    <w:rsid w:val="008A19C7"/>
    <w:rsid w:val="008A2CCF"/>
    <w:rsid w:val="008A3512"/>
    <w:rsid w:val="008A3BE6"/>
    <w:rsid w:val="008A503B"/>
    <w:rsid w:val="008A7299"/>
    <w:rsid w:val="008A7C7F"/>
    <w:rsid w:val="008B01FF"/>
    <w:rsid w:val="008B1820"/>
    <w:rsid w:val="008B21EF"/>
    <w:rsid w:val="008B3619"/>
    <w:rsid w:val="008B3641"/>
    <w:rsid w:val="008B3CAF"/>
    <w:rsid w:val="008B44BF"/>
    <w:rsid w:val="008B5286"/>
    <w:rsid w:val="008B5571"/>
    <w:rsid w:val="008B7165"/>
    <w:rsid w:val="008C00AD"/>
    <w:rsid w:val="008C0E86"/>
    <w:rsid w:val="008C151B"/>
    <w:rsid w:val="008C15F4"/>
    <w:rsid w:val="008C180E"/>
    <w:rsid w:val="008C1900"/>
    <w:rsid w:val="008C1F34"/>
    <w:rsid w:val="008C209E"/>
    <w:rsid w:val="008C291B"/>
    <w:rsid w:val="008C336B"/>
    <w:rsid w:val="008C3609"/>
    <w:rsid w:val="008C3C44"/>
    <w:rsid w:val="008C5F5B"/>
    <w:rsid w:val="008C6BDF"/>
    <w:rsid w:val="008C6EF6"/>
    <w:rsid w:val="008C6F9C"/>
    <w:rsid w:val="008C78DC"/>
    <w:rsid w:val="008D10A8"/>
    <w:rsid w:val="008D170D"/>
    <w:rsid w:val="008D1A83"/>
    <w:rsid w:val="008D2C54"/>
    <w:rsid w:val="008D3BDD"/>
    <w:rsid w:val="008D3CDE"/>
    <w:rsid w:val="008D53EA"/>
    <w:rsid w:val="008D5711"/>
    <w:rsid w:val="008D5D29"/>
    <w:rsid w:val="008E080E"/>
    <w:rsid w:val="008E08F3"/>
    <w:rsid w:val="008E0AB4"/>
    <w:rsid w:val="008E0DAE"/>
    <w:rsid w:val="008E0F55"/>
    <w:rsid w:val="008E3F4F"/>
    <w:rsid w:val="008E5ECA"/>
    <w:rsid w:val="008E672E"/>
    <w:rsid w:val="008E701C"/>
    <w:rsid w:val="008E7F1D"/>
    <w:rsid w:val="008F012D"/>
    <w:rsid w:val="008F387C"/>
    <w:rsid w:val="008F3FEA"/>
    <w:rsid w:val="008F4144"/>
    <w:rsid w:val="008F44A2"/>
    <w:rsid w:val="008F4F32"/>
    <w:rsid w:val="008F5441"/>
    <w:rsid w:val="008F606B"/>
    <w:rsid w:val="0090267B"/>
    <w:rsid w:val="00902B6B"/>
    <w:rsid w:val="009034BF"/>
    <w:rsid w:val="0090377D"/>
    <w:rsid w:val="00903896"/>
    <w:rsid w:val="0090479B"/>
    <w:rsid w:val="0090523F"/>
    <w:rsid w:val="009063A1"/>
    <w:rsid w:val="00907D1D"/>
    <w:rsid w:val="00912731"/>
    <w:rsid w:val="00914CD9"/>
    <w:rsid w:val="00915844"/>
    <w:rsid w:val="009160C2"/>
    <w:rsid w:val="009165EC"/>
    <w:rsid w:val="0091679B"/>
    <w:rsid w:val="009168AC"/>
    <w:rsid w:val="00916FDD"/>
    <w:rsid w:val="0092000B"/>
    <w:rsid w:val="00921646"/>
    <w:rsid w:val="00922428"/>
    <w:rsid w:val="0092277E"/>
    <w:rsid w:val="00923130"/>
    <w:rsid w:val="00923827"/>
    <w:rsid w:val="00925F3E"/>
    <w:rsid w:val="00927B90"/>
    <w:rsid w:val="009315ED"/>
    <w:rsid w:val="0093163B"/>
    <w:rsid w:val="00932C55"/>
    <w:rsid w:val="00933F46"/>
    <w:rsid w:val="0093423C"/>
    <w:rsid w:val="009343D2"/>
    <w:rsid w:val="00934A6C"/>
    <w:rsid w:val="00935E9E"/>
    <w:rsid w:val="00937004"/>
    <w:rsid w:val="00937C32"/>
    <w:rsid w:val="00940752"/>
    <w:rsid w:val="009418E9"/>
    <w:rsid w:val="0094247D"/>
    <w:rsid w:val="00942505"/>
    <w:rsid w:val="0094296C"/>
    <w:rsid w:val="00943E8F"/>
    <w:rsid w:val="00945502"/>
    <w:rsid w:val="009462ED"/>
    <w:rsid w:val="00946459"/>
    <w:rsid w:val="009468FF"/>
    <w:rsid w:val="00950715"/>
    <w:rsid w:val="00950D0B"/>
    <w:rsid w:val="00951BE2"/>
    <w:rsid w:val="00951C1D"/>
    <w:rsid w:val="00952A90"/>
    <w:rsid w:val="009548F6"/>
    <w:rsid w:val="00955A52"/>
    <w:rsid w:val="00956911"/>
    <w:rsid w:val="00956D04"/>
    <w:rsid w:val="00960E24"/>
    <w:rsid w:val="009616E7"/>
    <w:rsid w:val="00961895"/>
    <w:rsid w:val="00961C2E"/>
    <w:rsid w:val="00961C39"/>
    <w:rsid w:val="00963D34"/>
    <w:rsid w:val="009666E6"/>
    <w:rsid w:val="0096744F"/>
    <w:rsid w:val="009724BE"/>
    <w:rsid w:val="00972666"/>
    <w:rsid w:val="00972BDB"/>
    <w:rsid w:val="00972FD1"/>
    <w:rsid w:val="00973FC5"/>
    <w:rsid w:val="009742C9"/>
    <w:rsid w:val="00974582"/>
    <w:rsid w:val="0097696D"/>
    <w:rsid w:val="00977E32"/>
    <w:rsid w:val="009800D1"/>
    <w:rsid w:val="009817B1"/>
    <w:rsid w:val="00981EA5"/>
    <w:rsid w:val="00983F3D"/>
    <w:rsid w:val="00985437"/>
    <w:rsid w:val="009857BC"/>
    <w:rsid w:val="0098594F"/>
    <w:rsid w:val="00985D44"/>
    <w:rsid w:val="00986413"/>
    <w:rsid w:val="00986D43"/>
    <w:rsid w:val="009871D8"/>
    <w:rsid w:val="009911C9"/>
    <w:rsid w:val="0099127D"/>
    <w:rsid w:val="00993378"/>
    <w:rsid w:val="00994CD8"/>
    <w:rsid w:val="00994E18"/>
    <w:rsid w:val="0099505D"/>
    <w:rsid w:val="0099575B"/>
    <w:rsid w:val="00997003"/>
    <w:rsid w:val="009A0BF4"/>
    <w:rsid w:val="009A101D"/>
    <w:rsid w:val="009A1782"/>
    <w:rsid w:val="009A1AC1"/>
    <w:rsid w:val="009A30A1"/>
    <w:rsid w:val="009A4621"/>
    <w:rsid w:val="009A4BDF"/>
    <w:rsid w:val="009A5923"/>
    <w:rsid w:val="009A5952"/>
    <w:rsid w:val="009B075B"/>
    <w:rsid w:val="009B081D"/>
    <w:rsid w:val="009B1FA0"/>
    <w:rsid w:val="009B2A86"/>
    <w:rsid w:val="009B41C2"/>
    <w:rsid w:val="009B44FF"/>
    <w:rsid w:val="009B4A27"/>
    <w:rsid w:val="009B4FEA"/>
    <w:rsid w:val="009B60A8"/>
    <w:rsid w:val="009B6640"/>
    <w:rsid w:val="009C025A"/>
    <w:rsid w:val="009C0505"/>
    <w:rsid w:val="009C0616"/>
    <w:rsid w:val="009C0C14"/>
    <w:rsid w:val="009C25A3"/>
    <w:rsid w:val="009C2826"/>
    <w:rsid w:val="009C405C"/>
    <w:rsid w:val="009C439F"/>
    <w:rsid w:val="009C552C"/>
    <w:rsid w:val="009D08BD"/>
    <w:rsid w:val="009D3081"/>
    <w:rsid w:val="009D395E"/>
    <w:rsid w:val="009D430B"/>
    <w:rsid w:val="009D47E1"/>
    <w:rsid w:val="009D578B"/>
    <w:rsid w:val="009D6C36"/>
    <w:rsid w:val="009D7167"/>
    <w:rsid w:val="009E0BEC"/>
    <w:rsid w:val="009E12FA"/>
    <w:rsid w:val="009E187C"/>
    <w:rsid w:val="009E346F"/>
    <w:rsid w:val="009E45F2"/>
    <w:rsid w:val="009E46D6"/>
    <w:rsid w:val="009E5082"/>
    <w:rsid w:val="009E5E88"/>
    <w:rsid w:val="009E6654"/>
    <w:rsid w:val="009E6879"/>
    <w:rsid w:val="009E71F9"/>
    <w:rsid w:val="009E741E"/>
    <w:rsid w:val="009F1A87"/>
    <w:rsid w:val="009F2BCB"/>
    <w:rsid w:val="009F2DE6"/>
    <w:rsid w:val="009F5259"/>
    <w:rsid w:val="009F68EC"/>
    <w:rsid w:val="009F6A5B"/>
    <w:rsid w:val="009F6C5E"/>
    <w:rsid w:val="009F6C96"/>
    <w:rsid w:val="00A01022"/>
    <w:rsid w:val="00A01A21"/>
    <w:rsid w:val="00A01C96"/>
    <w:rsid w:val="00A01DAB"/>
    <w:rsid w:val="00A02018"/>
    <w:rsid w:val="00A021BF"/>
    <w:rsid w:val="00A0220D"/>
    <w:rsid w:val="00A02802"/>
    <w:rsid w:val="00A02D89"/>
    <w:rsid w:val="00A035BE"/>
    <w:rsid w:val="00A03606"/>
    <w:rsid w:val="00A04113"/>
    <w:rsid w:val="00A041F6"/>
    <w:rsid w:val="00A049A6"/>
    <w:rsid w:val="00A04F64"/>
    <w:rsid w:val="00A051C6"/>
    <w:rsid w:val="00A05A62"/>
    <w:rsid w:val="00A05AAF"/>
    <w:rsid w:val="00A064BB"/>
    <w:rsid w:val="00A06555"/>
    <w:rsid w:val="00A066E9"/>
    <w:rsid w:val="00A106F3"/>
    <w:rsid w:val="00A11396"/>
    <w:rsid w:val="00A11B48"/>
    <w:rsid w:val="00A12DC7"/>
    <w:rsid w:val="00A13A7E"/>
    <w:rsid w:val="00A13D90"/>
    <w:rsid w:val="00A1486F"/>
    <w:rsid w:val="00A15663"/>
    <w:rsid w:val="00A159E2"/>
    <w:rsid w:val="00A1658C"/>
    <w:rsid w:val="00A170DA"/>
    <w:rsid w:val="00A17B75"/>
    <w:rsid w:val="00A20B9A"/>
    <w:rsid w:val="00A2157A"/>
    <w:rsid w:val="00A2328C"/>
    <w:rsid w:val="00A2402D"/>
    <w:rsid w:val="00A2424F"/>
    <w:rsid w:val="00A258AD"/>
    <w:rsid w:val="00A271FF"/>
    <w:rsid w:val="00A309E5"/>
    <w:rsid w:val="00A31B43"/>
    <w:rsid w:val="00A32B8D"/>
    <w:rsid w:val="00A3320D"/>
    <w:rsid w:val="00A33599"/>
    <w:rsid w:val="00A343BE"/>
    <w:rsid w:val="00A34E43"/>
    <w:rsid w:val="00A34EF7"/>
    <w:rsid w:val="00A359E6"/>
    <w:rsid w:val="00A36C4F"/>
    <w:rsid w:val="00A36E63"/>
    <w:rsid w:val="00A40611"/>
    <w:rsid w:val="00A41C38"/>
    <w:rsid w:val="00A42755"/>
    <w:rsid w:val="00A45AEB"/>
    <w:rsid w:val="00A46B79"/>
    <w:rsid w:val="00A47572"/>
    <w:rsid w:val="00A47AE0"/>
    <w:rsid w:val="00A47DB7"/>
    <w:rsid w:val="00A5092D"/>
    <w:rsid w:val="00A513A4"/>
    <w:rsid w:val="00A52562"/>
    <w:rsid w:val="00A5377C"/>
    <w:rsid w:val="00A54499"/>
    <w:rsid w:val="00A55329"/>
    <w:rsid w:val="00A55869"/>
    <w:rsid w:val="00A56AA6"/>
    <w:rsid w:val="00A57A12"/>
    <w:rsid w:val="00A57A84"/>
    <w:rsid w:val="00A6050B"/>
    <w:rsid w:val="00A60790"/>
    <w:rsid w:val="00A60DB0"/>
    <w:rsid w:val="00A60F2D"/>
    <w:rsid w:val="00A633D0"/>
    <w:rsid w:val="00A643A1"/>
    <w:rsid w:val="00A649DD"/>
    <w:rsid w:val="00A64D05"/>
    <w:rsid w:val="00A66892"/>
    <w:rsid w:val="00A66E55"/>
    <w:rsid w:val="00A67803"/>
    <w:rsid w:val="00A701E6"/>
    <w:rsid w:val="00A70823"/>
    <w:rsid w:val="00A709D8"/>
    <w:rsid w:val="00A72560"/>
    <w:rsid w:val="00A72D83"/>
    <w:rsid w:val="00A73C37"/>
    <w:rsid w:val="00A754D2"/>
    <w:rsid w:val="00A755E5"/>
    <w:rsid w:val="00A759FE"/>
    <w:rsid w:val="00A75BC7"/>
    <w:rsid w:val="00A75BEF"/>
    <w:rsid w:val="00A75CA1"/>
    <w:rsid w:val="00A77301"/>
    <w:rsid w:val="00A77767"/>
    <w:rsid w:val="00A777BD"/>
    <w:rsid w:val="00A80FEF"/>
    <w:rsid w:val="00A81CFA"/>
    <w:rsid w:val="00A81E96"/>
    <w:rsid w:val="00A822E3"/>
    <w:rsid w:val="00A83D3E"/>
    <w:rsid w:val="00A86539"/>
    <w:rsid w:val="00A86584"/>
    <w:rsid w:val="00A871B4"/>
    <w:rsid w:val="00A905AE"/>
    <w:rsid w:val="00A915D7"/>
    <w:rsid w:val="00A919D2"/>
    <w:rsid w:val="00A91D1C"/>
    <w:rsid w:val="00A92AC6"/>
    <w:rsid w:val="00A9342D"/>
    <w:rsid w:val="00A93714"/>
    <w:rsid w:val="00A94191"/>
    <w:rsid w:val="00A948ED"/>
    <w:rsid w:val="00A9540E"/>
    <w:rsid w:val="00A95E9F"/>
    <w:rsid w:val="00A969A4"/>
    <w:rsid w:val="00A96E47"/>
    <w:rsid w:val="00A97C63"/>
    <w:rsid w:val="00AA0463"/>
    <w:rsid w:val="00AA21BF"/>
    <w:rsid w:val="00AA2F78"/>
    <w:rsid w:val="00AA2F9E"/>
    <w:rsid w:val="00AA65F4"/>
    <w:rsid w:val="00AA71E5"/>
    <w:rsid w:val="00AB0C11"/>
    <w:rsid w:val="00AB174D"/>
    <w:rsid w:val="00AB2B63"/>
    <w:rsid w:val="00AB2F66"/>
    <w:rsid w:val="00AB41E3"/>
    <w:rsid w:val="00AB427F"/>
    <w:rsid w:val="00AB61F9"/>
    <w:rsid w:val="00AB66DD"/>
    <w:rsid w:val="00AB6CF0"/>
    <w:rsid w:val="00AB6E82"/>
    <w:rsid w:val="00AB7AB3"/>
    <w:rsid w:val="00AB7E93"/>
    <w:rsid w:val="00AC042F"/>
    <w:rsid w:val="00AC0574"/>
    <w:rsid w:val="00AC0BB9"/>
    <w:rsid w:val="00AC107C"/>
    <w:rsid w:val="00AC1628"/>
    <w:rsid w:val="00AC3289"/>
    <w:rsid w:val="00AC34BA"/>
    <w:rsid w:val="00AC34BF"/>
    <w:rsid w:val="00AC3A1C"/>
    <w:rsid w:val="00AC3ADE"/>
    <w:rsid w:val="00AC4608"/>
    <w:rsid w:val="00AC4FFD"/>
    <w:rsid w:val="00AC6DCD"/>
    <w:rsid w:val="00AD115A"/>
    <w:rsid w:val="00AD1825"/>
    <w:rsid w:val="00AD2419"/>
    <w:rsid w:val="00AD2CCE"/>
    <w:rsid w:val="00AD342D"/>
    <w:rsid w:val="00AD385C"/>
    <w:rsid w:val="00AD4757"/>
    <w:rsid w:val="00AD4BA2"/>
    <w:rsid w:val="00AD5909"/>
    <w:rsid w:val="00AD5CAD"/>
    <w:rsid w:val="00AD6252"/>
    <w:rsid w:val="00AD644B"/>
    <w:rsid w:val="00AD69C5"/>
    <w:rsid w:val="00AD7629"/>
    <w:rsid w:val="00AE1283"/>
    <w:rsid w:val="00AE73D9"/>
    <w:rsid w:val="00AE78EB"/>
    <w:rsid w:val="00AF049C"/>
    <w:rsid w:val="00AF14CB"/>
    <w:rsid w:val="00AF1566"/>
    <w:rsid w:val="00AF1E4D"/>
    <w:rsid w:val="00AF2321"/>
    <w:rsid w:val="00AF2E78"/>
    <w:rsid w:val="00AF4E13"/>
    <w:rsid w:val="00AF59B1"/>
    <w:rsid w:val="00AF5F22"/>
    <w:rsid w:val="00B028BA"/>
    <w:rsid w:val="00B0296A"/>
    <w:rsid w:val="00B02D02"/>
    <w:rsid w:val="00B03F6B"/>
    <w:rsid w:val="00B0436D"/>
    <w:rsid w:val="00B04466"/>
    <w:rsid w:val="00B0446A"/>
    <w:rsid w:val="00B044B8"/>
    <w:rsid w:val="00B04812"/>
    <w:rsid w:val="00B048C1"/>
    <w:rsid w:val="00B05B0E"/>
    <w:rsid w:val="00B05DCA"/>
    <w:rsid w:val="00B065FD"/>
    <w:rsid w:val="00B06985"/>
    <w:rsid w:val="00B069E0"/>
    <w:rsid w:val="00B1027F"/>
    <w:rsid w:val="00B10A17"/>
    <w:rsid w:val="00B110CF"/>
    <w:rsid w:val="00B13DDE"/>
    <w:rsid w:val="00B14365"/>
    <w:rsid w:val="00B14DAB"/>
    <w:rsid w:val="00B15226"/>
    <w:rsid w:val="00B15ABB"/>
    <w:rsid w:val="00B15E0D"/>
    <w:rsid w:val="00B171FD"/>
    <w:rsid w:val="00B211B9"/>
    <w:rsid w:val="00B22C0E"/>
    <w:rsid w:val="00B2322A"/>
    <w:rsid w:val="00B23620"/>
    <w:rsid w:val="00B238F2"/>
    <w:rsid w:val="00B23D22"/>
    <w:rsid w:val="00B245F8"/>
    <w:rsid w:val="00B24ECF"/>
    <w:rsid w:val="00B252AA"/>
    <w:rsid w:val="00B255E7"/>
    <w:rsid w:val="00B25FCC"/>
    <w:rsid w:val="00B30348"/>
    <w:rsid w:val="00B30D56"/>
    <w:rsid w:val="00B31065"/>
    <w:rsid w:val="00B3144F"/>
    <w:rsid w:val="00B322D6"/>
    <w:rsid w:val="00B329FE"/>
    <w:rsid w:val="00B32B91"/>
    <w:rsid w:val="00B3344B"/>
    <w:rsid w:val="00B3353A"/>
    <w:rsid w:val="00B34209"/>
    <w:rsid w:val="00B348E6"/>
    <w:rsid w:val="00B34950"/>
    <w:rsid w:val="00B35629"/>
    <w:rsid w:val="00B35B84"/>
    <w:rsid w:val="00B36700"/>
    <w:rsid w:val="00B37A31"/>
    <w:rsid w:val="00B37BB5"/>
    <w:rsid w:val="00B40BF5"/>
    <w:rsid w:val="00B41135"/>
    <w:rsid w:val="00B416F5"/>
    <w:rsid w:val="00B43A0B"/>
    <w:rsid w:val="00B43F6B"/>
    <w:rsid w:val="00B4429A"/>
    <w:rsid w:val="00B44C70"/>
    <w:rsid w:val="00B44FE4"/>
    <w:rsid w:val="00B45BCA"/>
    <w:rsid w:val="00B45D17"/>
    <w:rsid w:val="00B463B4"/>
    <w:rsid w:val="00B4670D"/>
    <w:rsid w:val="00B47440"/>
    <w:rsid w:val="00B47647"/>
    <w:rsid w:val="00B51DC9"/>
    <w:rsid w:val="00B5312E"/>
    <w:rsid w:val="00B533CF"/>
    <w:rsid w:val="00B53C04"/>
    <w:rsid w:val="00B553B2"/>
    <w:rsid w:val="00B5595F"/>
    <w:rsid w:val="00B55EF6"/>
    <w:rsid w:val="00B5634D"/>
    <w:rsid w:val="00B6037C"/>
    <w:rsid w:val="00B61981"/>
    <w:rsid w:val="00B626BE"/>
    <w:rsid w:val="00B62DC0"/>
    <w:rsid w:val="00B6342D"/>
    <w:rsid w:val="00B63A08"/>
    <w:rsid w:val="00B63D55"/>
    <w:rsid w:val="00B64343"/>
    <w:rsid w:val="00B644BD"/>
    <w:rsid w:val="00B652C0"/>
    <w:rsid w:val="00B655BB"/>
    <w:rsid w:val="00B65985"/>
    <w:rsid w:val="00B659B2"/>
    <w:rsid w:val="00B67CDA"/>
    <w:rsid w:val="00B708A2"/>
    <w:rsid w:val="00B7145A"/>
    <w:rsid w:val="00B714E1"/>
    <w:rsid w:val="00B74382"/>
    <w:rsid w:val="00B75904"/>
    <w:rsid w:val="00B75DBC"/>
    <w:rsid w:val="00B76A2B"/>
    <w:rsid w:val="00B77077"/>
    <w:rsid w:val="00B77C06"/>
    <w:rsid w:val="00B803D4"/>
    <w:rsid w:val="00B8197F"/>
    <w:rsid w:val="00B81D0B"/>
    <w:rsid w:val="00B81F46"/>
    <w:rsid w:val="00B8213E"/>
    <w:rsid w:val="00B82EBF"/>
    <w:rsid w:val="00B8352F"/>
    <w:rsid w:val="00B8449E"/>
    <w:rsid w:val="00B86249"/>
    <w:rsid w:val="00B86F8C"/>
    <w:rsid w:val="00B87B73"/>
    <w:rsid w:val="00B90627"/>
    <w:rsid w:val="00B90927"/>
    <w:rsid w:val="00B910B5"/>
    <w:rsid w:val="00B91F16"/>
    <w:rsid w:val="00B92508"/>
    <w:rsid w:val="00B927BB"/>
    <w:rsid w:val="00B9322E"/>
    <w:rsid w:val="00B96915"/>
    <w:rsid w:val="00BA0588"/>
    <w:rsid w:val="00BA1E39"/>
    <w:rsid w:val="00BA3C6F"/>
    <w:rsid w:val="00BA4387"/>
    <w:rsid w:val="00BA49DB"/>
    <w:rsid w:val="00BA4EF9"/>
    <w:rsid w:val="00BA680C"/>
    <w:rsid w:val="00BA70E6"/>
    <w:rsid w:val="00BA76C2"/>
    <w:rsid w:val="00BA77D4"/>
    <w:rsid w:val="00BB1652"/>
    <w:rsid w:val="00BB21C5"/>
    <w:rsid w:val="00BB2263"/>
    <w:rsid w:val="00BB2652"/>
    <w:rsid w:val="00BB41F3"/>
    <w:rsid w:val="00BB4E37"/>
    <w:rsid w:val="00BB54D0"/>
    <w:rsid w:val="00BB605B"/>
    <w:rsid w:val="00BB6174"/>
    <w:rsid w:val="00BB6663"/>
    <w:rsid w:val="00BB796A"/>
    <w:rsid w:val="00BC0C48"/>
    <w:rsid w:val="00BC1353"/>
    <w:rsid w:val="00BC140C"/>
    <w:rsid w:val="00BC1455"/>
    <w:rsid w:val="00BC1F5D"/>
    <w:rsid w:val="00BC23F8"/>
    <w:rsid w:val="00BC3694"/>
    <w:rsid w:val="00BC4787"/>
    <w:rsid w:val="00BC479E"/>
    <w:rsid w:val="00BC47B3"/>
    <w:rsid w:val="00BC61DA"/>
    <w:rsid w:val="00BC6B11"/>
    <w:rsid w:val="00BC6D32"/>
    <w:rsid w:val="00BD0B91"/>
    <w:rsid w:val="00BD16E9"/>
    <w:rsid w:val="00BD1C1E"/>
    <w:rsid w:val="00BD26E8"/>
    <w:rsid w:val="00BD28A8"/>
    <w:rsid w:val="00BD44E3"/>
    <w:rsid w:val="00BD53BE"/>
    <w:rsid w:val="00BD58B1"/>
    <w:rsid w:val="00BD5DB0"/>
    <w:rsid w:val="00BD63FE"/>
    <w:rsid w:val="00BD647F"/>
    <w:rsid w:val="00BD6EEE"/>
    <w:rsid w:val="00BD6F80"/>
    <w:rsid w:val="00BD713E"/>
    <w:rsid w:val="00BE0134"/>
    <w:rsid w:val="00BE01F4"/>
    <w:rsid w:val="00BE4925"/>
    <w:rsid w:val="00BE4A2F"/>
    <w:rsid w:val="00BE5E0F"/>
    <w:rsid w:val="00BE61B1"/>
    <w:rsid w:val="00BE67B9"/>
    <w:rsid w:val="00BE7DD7"/>
    <w:rsid w:val="00BF00FB"/>
    <w:rsid w:val="00BF135B"/>
    <w:rsid w:val="00BF16FC"/>
    <w:rsid w:val="00BF18DC"/>
    <w:rsid w:val="00BF3CDA"/>
    <w:rsid w:val="00BF5729"/>
    <w:rsid w:val="00BF5842"/>
    <w:rsid w:val="00BF7289"/>
    <w:rsid w:val="00BF7699"/>
    <w:rsid w:val="00BF7FB8"/>
    <w:rsid w:val="00C00C75"/>
    <w:rsid w:val="00C02C91"/>
    <w:rsid w:val="00C03A38"/>
    <w:rsid w:val="00C040E5"/>
    <w:rsid w:val="00C043A6"/>
    <w:rsid w:val="00C045A6"/>
    <w:rsid w:val="00C04CB0"/>
    <w:rsid w:val="00C05A08"/>
    <w:rsid w:val="00C06C9E"/>
    <w:rsid w:val="00C11B45"/>
    <w:rsid w:val="00C11D2A"/>
    <w:rsid w:val="00C12A42"/>
    <w:rsid w:val="00C146B7"/>
    <w:rsid w:val="00C151C6"/>
    <w:rsid w:val="00C15909"/>
    <w:rsid w:val="00C16ACC"/>
    <w:rsid w:val="00C170D9"/>
    <w:rsid w:val="00C176F0"/>
    <w:rsid w:val="00C179FE"/>
    <w:rsid w:val="00C20DE9"/>
    <w:rsid w:val="00C21C62"/>
    <w:rsid w:val="00C21ECF"/>
    <w:rsid w:val="00C233B6"/>
    <w:rsid w:val="00C24EB9"/>
    <w:rsid w:val="00C26DD9"/>
    <w:rsid w:val="00C271A9"/>
    <w:rsid w:val="00C27561"/>
    <w:rsid w:val="00C31998"/>
    <w:rsid w:val="00C3291A"/>
    <w:rsid w:val="00C32B8A"/>
    <w:rsid w:val="00C3357D"/>
    <w:rsid w:val="00C33780"/>
    <w:rsid w:val="00C33DF5"/>
    <w:rsid w:val="00C34DEF"/>
    <w:rsid w:val="00C35D29"/>
    <w:rsid w:val="00C36373"/>
    <w:rsid w:val="00C368E6"/>
    <w:rsid w:val="00C373CC"/>
    <w:rsid w:val="00C37AE2"/>
    <w:rsid w:val="00C41A6D"/>
    <w:rsid w:val="00C462BD"/>
    <w:rsid w:val="00C464D9"/>
    <w:rsid w:val="00C46A0C"/>
    <w:rsid w:val="00C474F8"/>
    <w:rsid w:val="00C47D21"/>
    <w:rsid w:val="00C50D46"/>
    <w:rsid w:val="00C516DD"/>
    <w:rsid w:val="00C5245F"/>
    <w:rsid w:val="00C53BD1"/>
    <w:rsid w:val="00C554D4"/>
    <w:rsid w:val="00C55DED"/>
    <w:rsid w:val="00C56E30"/>
    <w:rsid w:val="00C603E0"/>
    <w:rsid w:val="00C61EE7"/>
    <w:rsid w:val="00C62459"/>
    <w:rsid w:val="00C63D65"/>
    <w:rsid w:val="00C651E6"/>
    <w:rsid w:val="00C659D4"/>
    <w:rsid w:val="00C66826"/>
    <w:rsid w:val="00C67289"/>
    <w:rsid w:val="00C67869"/>
    <w:rsid w:val="00C71B85"/>
    <w:rsid w:val="00C7322A"/>
    <w:rsid w:val="00C74EBB"/>
    <w:rsid w:val="00C74F1E"/>
    <w:rsid w:val="00C7521C"/>
    <w:rsid w:val="00C76566"/>
    <w:rsid w:val="00C77201"/>
    <w:rsid w:val="00C77223"/>
    <w:rsid w:val="00C774AE"/>
    <w:rsid w:val="00C77630"/>
    <w:rsid w:val="00C77CFF"/>
    <w:rsid w:val="00C805BA"/>
    <w:rsid w:val="00C80C93"/>
    <w:rsid w:val="00C844CA"/>
    <w:rsid w:val="00C84F69"/>
    <w:rsid w:val="00C85186"/>
    <w:rsid w:val="00C85872"/>
    <w:rsid w:val="00C86588"/>
    <w:rsid w:val="00C871FF"/>
    <w:rsid w:val="00C8743A"/>
    <w:rsid w:val="00C91BDD"/>
    <w:rsid w:val="00C935F8"/>
    <w:rsid w:val="00C936E8"/>
    <w:rsid w:val="00C93EE3"/>
    <w:rsid w:val="00C94FA8"/>
    <w:rsid w:val="00C951BB"/>
    <w:rsid w:val="00C957EF"/>
    <w:rsid w:val="00C95827"/>
    <w:rsid w:val="00C95B73"/>
    <w:rsid w:val="00C96D4F"/>
    <w:rsid w:val="00CA153C"/>
    <w:rsid w:val="00CA2A17"/>
    <w:rsid w:val="00CA2CF7"/>
    <w:rsid w:val="00CA32D9"/>
    <w:rsid w:val="00CA4658"/>
    <w:rsid w:val="00CA53AD"/>
    <w:rsid w:val="00CA6703"/>
    <w:rsid w:val="00CA6BD1"/>
    <w:rsid w:val="00CA6C40"/>
    <w:rsid w:val="00CA708E"/>
    <w:rsid w:val="00CA7C8F"/>
    <w:rsid w:val="00CB0EB7"/>
    <w:rsid w:val="00CB1E6F"/>
    <w:rsid w:val="00CB2049"/>
    <w:rsid w:val="00CB20E8"/>
    <w:rsid w:val="00CB2CF6"/>
    <w:rsid w:val="00CB33D6"/>
    <w:rsid w:val="00CB5F90"/>
    <w:rsid w:val="00CB66BE"/>
    <w:rsid w:val="00CB6917"/>
    <w:rsid w:val="00CC1448"/>
    <w:rsid w:val="00CC2D05"/>
    <w:rsid w:val="00CC49C9"/>
    <w:rsid w:val="00CC63D1"/>
    <w:rsid w:val="00CC6B57"/>
    <w:rsid w:val="00CC73F4"/>
    <w:rsid w:val="00CC7D7F"/>
    <w:rsid w:val="00CD138C"/>
    <w:rsid w:val="00CD2F7A"/>
    <w:rsid w:val="00CD335C"/>
    <w:rsid w:val="00CD33C9"/>
    <w:rsid w:val="00CD3736"/>
    <w:rsid w:val="00CD3A5D"/>
    <w:rsid w:val="00CD3D61"/>
    <w:rsid w:val="00CD4203"/>
    <w:rsid w:val="00CD62BA"/>
    <w:rsid w:val="00CE3B14"/>
    <w:rsid w:val="00CE48BF"/>
    <w:rsid w:val="00CE52B5"/>
    <w:rsid w:val="00CE5A24"/>
    <w:rsid w:val="00CE730E"/>
    <w:rsid w:val="00CE7EC7"/>
    <w:rsid w:val="00CF090A"/>
    <w:rsid w:val="00CF26D1"/>
    <w:rsid w:val="00CF45D9"/>
    <w:rsid w:val="00CF460C"/>
    <w:rsid w:val="00CF512C"/>
    <w:rsid w:val="00CF74BF"/>
    <w:rsid w:val="00D00141"/>
    <w:rsid w:val="00D00849"/>
    <w:rsid w:val="00D01393"/>
    <w:rsid w:val="00D01F3A"/>
    <w:rsid w:val="00D0290E"/>
    <w:rsid w:val="00D03552"/>
    <w:rsid w:val="00D03712"/>
    <w:rsid w:val="00D077C2"/>
    <w:rsid w:val="00D102FE"/>
    <w:rsid w:val="00D104E4"/>
    <w:rsid w:val="00D10D7F"/>
    <w:rsid w:val="00D13064"/>
    <w:rsid w:val="00D13366"/>
    <w:rsid w:val="00D13598"/>
    <w:rsid w:val="00D137C1"/>
    <w:rsid w:val="00D13C03"/>
    <w:rsid w:val="00D14626"/>
    <w:rsid w:val="00D17891"/>
    <w:rsid w:val="00D21BA9"/>
    <w:rsid w:val="00D245C9"/>
    <w:rsid w:val="00D2486A"/>
    <w:rsid w:val="00D258BB"/>
    <w:rsid w:val="00D25B8D"/>
    <w:rsid w:val="00D2627E"/>
    <w:rsid w:val="00D263D1"/>
    <w:rsid w:val="00D27124"/>
    <w:rsid w:val="00D27E29"/>
    <w:rsid w:val="00D304B1"/>
    <w:rsid w:val="00D3080B"/>
    <w:rsid w:val="00D30F83"/>
    <w:rsid w:val="00D31B96"/>
    <w:rsid w:val="00D31C89"/>
    <w:rsid w:val="00D326F4"/>
    <w:rsid w:val="00D338F2"/>
    <w:rsid w:val="00D36A1F"/>
    <w:rsid w:val="00D3715F"/>
    <w:rsid w:val="00D377B5"/>
    <w:rsid w:val="00D402B6"/>
    <w:rsid w:val="00D407C4"/>
    <w:rsid w:val="00D4168D"/>
    <w:rsid w:val="00D42009"/>
    <w:rsid w:val="00D422F4"/>
    <w:rsid w:val="00D424B5"/>
    <w:rsid w:val="00D42603"/>
    <w:rsid w:val="00D43DA9"/>
    <w:rsid w:val="00D43F2E"/>
    <w:rsid w:val="00D44CD7"/>
    <w:rsid w:val="00D44DB3"/>
    <w:rsid w:val="00D45608"/>
    <w:rsid w:val="00D50496"/>
    <w:rsid w:val="00D52632"/>
    <w:rsid w:val="00D5265F"/>
    <w:rsid w:val="00D53EE7"/>
    <w:rsid w:val="00D54AD5"/>
    <w:rsid w:val="00D54F26"/>
    <w:rsid w:val="00D55056"/>
    <w:rsid w:val="00D55634"/>
    <w:rsid w:val="00D5568A"/>
    <w:rsid w:val="00D55A4C"/>
    <w:rsid w:val="00D56FE4"/>
    <w:rsid w:val="00D579DE"/>
    <w:rsid w:val="00D57A50"/>
    <w:rsid w:val="00D57FB3"/>
    <w:rsid w:val="00D6033C"/>
    <w:rsid w:val="00D63336"/>
    <w:rsid w:val="00D63DAA"/>
    <w:rsid w:val="00D64EFE"/>
    <w:rsid w:val="00D65810"/>
    <w:rsid w:val="00D65C8A"/>
    <w:rsid w:val="00D65E3E"/>
    <w:rsid w:val="00D669C9"/>
    <w:rsid w:val="00D66E30"/>
    <w:rsid w:val="00D6780E"/>
    <w:rsid w:val="00D702B5"/>
    <w:rsid w:val="00D7034A"/>
    <w:rsid w:val="00D71AF1"/>
    <w:rsid w:val="00D72298"/>
    <w:rsid w:val="00D77034"/>
    <w:rsid w:val="00D806D1"/>
    <w:rsid w:val="00D807BF"/>
    <w:rsid w:val="00D81008"/>
    <w:rsid w:val="00D81531"/>
    <w:rsid w:val="00D819D1"/>
    <w:rsid w:val="00D8241C"/>
    <w:rsid w:val="00D83EDA"/>
    <w:rsid w:val="00D856D5"/>
    <w:rsid w:val="00D85CCE"/>
    <w:rsid w:val="00D86EDD"/>
    <w:rsid w:val="00D906A3"/>
    <w:rsid w:val="00D90E69"/>
    <w:rsid w:val="00D91D8F"/>
    <w:rsid w:val="00D933C2"/>
    <w:rsid w:val="00D9385D"/>
    <w:rsid w:val="00D93A08"/>
    <w:rsid w:val="00D93B56"/>
    <w:rsid w:val="00D93B62"/>
    <w:rsid w:val="00D941BC"/>
    <w:rsid w:val="00D952C8"/>
    <w:rsid w:val="00D97344"/>
    <w:rsid w:val="00D976F1"/>
    <w:rsid w:val="00D97CB8"/>
    <w:rsid w:val="00DA07E2"/>
    <w:rsid w:val="00DA104B"/>
    <w:rsid w:val="00DA1359"/>
    <w:rsid w:val="00DA15D6"/>
    <w:rsid w:val="00DA1E0F"/>
    <w:rsid w:val="00DA24CD"/>
    <w:rsid w:val="00DA2B41"/>
    <w:rsid w:val="00DA35E1"/>
    <w:rsid w:val="00DA3F5E"/>
    <w:rsid w:val="00DA44B0"/>
    <w:rsid w:val="00DA601C"/>
    <w:rsid w:val="00DA7974"/>
    <w:rsid w:val="00DB0156"/>
    <w:rsid w:val="00DB19BC"/>
    <w:rsid w:val="00DB3663"/>
    <w:rsid w:val="00DB53D9"/>
    <w:rsid w:val="00DB61A8"/>
    <w:rsid w:val="00DC0D96"/>
    <w:rsid w:val="00DC174A"/>
    <w:rsid w:val="00DC22CD"/>
    <w:rsid w:val="00DC270F"/>
    <w:rsid w:val="00DC3456"/>
    <w:rsid w:val="00DC3D08"/>
    <w:rsid w:val="00DC41A0"/>
    <w:rsid w:val="00DC5BE1"/>
    <w:rsid w:val="00DD0C50"/>
    <w:rsid w:val="00DD0D16"/>
    <w:rsid w:val="00DD105D"/>
    <w:rsid w:val="00DD1153"/>
    <w:rsid w:val="00DD2A20"/>
    <w:rsid w:val="00DD2E2D"/>
    <w:rsid w:val="00DD376B"/>
    <w:rsid w:val="00DD383A"/>
    <w:rsid w:val="00DD3FBB"/>
    <w:rsid w:val="00DD489E"/>
    <w:rsid w:val="00DD4BF6"/>
    <w:rsid w:val="00DD5997"/>
    <w:rsid w:val="00DD607A"/>
    <w:rsid w:val="00DD720B"/>
    <w:rsid w:val="00DD7839"/>
    <w:rsid w:val="00DE2634"/>
    <w:rsid w:val="00DE2EA8"/>
    <w:rsid w:val="00DE6F61"/>
    <w:rsid w:val="00DE7D85"/>
    <w:rsid w:val="00DF0CD8"/>
    <w:rsid w:val="00DF1588"/>
    <w:rsid w:val="00DF1A63"/>
    <w:rsid w:val="00DF247E"/>
    <w:rsid w:val="00DF2994"/>
    <w:rsid w:val="00DF4E59"/>
    <w:rsid w:val="00DF4F85"/>
    <w:rsid w:val="00DF530A"/>
    <w:rsid w:val="00DF58EB"/>
    <w:rsid w:val="00DF67CF"/>
    <w:rsid w:val="00DF7115"/>
    <w:rsid w:val="00E00118"/>
    <w:rsid w:val="00E016EE"/>
    <w:rsid w:val="00E0176C"/>
    <w:rsid w:val="00E026FC"/>
    <w:rsid w:val="00E02CF2"/>
    <w:rsid w:val="00E032E1"/>
    <w:rsid w:val="00E03D51"/>
    <w:rsid w:val="00E0411A"/>
    <w:rsid w:val="00E044A0"/>
    <w:rsid w:val="00E045DE"/>
    <w:rsid w:val="00E04783"/>
    <w:rsid w:val="00E05A87"/>
    <w:rsid w:val="00E07419"/>
    <w:rsid w:val="00E11080"/>
    <w:rsid w:val="00E11490"/>
    <w:rsid w:val="00E11C9C"/>
    <w:rsid w:val="00E12030"/>
    <w:rsid w:val="00E12EA6"/>
    <w:rsid w:val="00E14918"/>
    <w:rsid w:val="00E162AC"/>
    <w:rsid w:val="00E16BC5"/>
    <w:rsid w:val="00E17390"/>
    <w:rsid w:val="00E17EB5"/>
    <w:rsid w:val="00E20AB7"/>
    <w:rsid w:val="00E21655"/>
    <w:rsid w:val="00E21DAA"/>
    <w:rsid w:val="00E22198"/>
    <w:rsid w:val="00E224B7"/>
    <w:rsid w:val="00E23149"/>
    <w:rsid w:val="00E2527F"/>
    <w:rsid w:val="00E3019B"/>
    <w:rsid w:val="00E32234"/>
    <w:rsid w:val="00E32664"/>
    <w:rsid w:val="00E32F47"/>
    <w:rsid w:val="00E3471C"/>
    <w:rsid w:val="00E34C89"/>
    <w:rsid w:val="00E35746"/>
    <w:rsid w:val="00E362FB"/>
    <w:rsid w:val="00E3798D"/>
    <w:rsid w:val="00E404AF"/>
    <w:rsid w:val="00E40841"/>
    <w:rsid w:val="00E4102D"/>
    <w:rsid w:val="00E44023"/>
    <w:rsid w:val="00E45354"/>
    <w:rsid w:val="00E45B55"/>
    <w:rsid w:val="00E45CAE"/>
    <w:rsid w:val="00E45F81"/>
    <w:rsid w:val="00E46C01"/>
    <w:rsid w:val="00E46E08"/>
    <w:rsid w:val="00E47425"/>
    <w:rsid w:val="00E5129D"/>
    <w:rsid w:val="00E52156"/>
    <w:rsid w:val="00E534FC"/>
    <w:rsid w:val="00E5412E"/>
    <w:rsid w:val="00E56186"/>
    <w:rsid w:val="00E56A55"/>
    <w:rsid w:val="00E57A43"/>
    <w:rsid w:val="00E62016"/>
    <w:rsid w:val="00E63D5B"/>
    <w:rsid w:val="00E6552E"/>
    <w:rsid w:val="00E65C0B"/>
    <w:rsid w:val="00E66098"/>
    <w:rsid w:val="00E66365"/>
    <w:rsid w:val="00E66397"/>
    <w:rsid w:val="00E664D1"/>
    <w:rsid w:val="00E66EC7"/>
    <w:rsid w:val="00E66F26"/>
    <w:rsid w:val="00E672E0"/>
    <w:rsid w:val="00E6770E"/>
    <w:rsid w:val="00E74AC6"/>
    <w:rsid w:val="00E7516B"/>
    <w:rsid w:val="00E75422"/>
    <w:rsid w:val="00E759A6"/>
    <w:rsid w:val="00E7749D"/>
    <w:rsid w:val="00E807F0"/>
    <w:rsid w:val="00E80A86"/>
    <w:rsid w:val="00E816E6"/>
    <w:rsid w:val="00E83854"/>
    <w:rsid w:val="00E84B50"/>
    <w:rsid w:val="00E856B0"/>
    <w:rsid w:val="00E86408"/>
    <w:rsid w:val="00E866D9"/>
    <w:rsid w:val="00E87458"/>
    <w:rsid w:val="00E90937"/>
    <w:rsid w:val="00E90F38"/>
    <w:rsid w:val="00E91603"/>
    <w:rsid w:val="00E919EB"/>
    <w:rsid w:val="00E925E4"/>
    <w:rsid w:val="00E92A43"/>
    <w:rsid w:val="00E9378C"/>
    <w:rsid w:val="00E9488F"/>
    <w:rsid w:val="00E95352"/>
    <w:rsid w:val="00E95829"/>
    <w:rsid w:val="00E959EF"/>
    <w:rsid w:val="00E967C7"/>
    <w:rsid w:val="00E968D9"/>
    <w:rsid w:val="00E96B7F"/>
    <w:rsid w:val="00E96D0B"/>
    <w:rsid w:val="00E96DCF"/>
    <w:rsid w:val="00E96E1C"/>
    <w:rsid w:val="00E96E3B"/>
    <w:rsid w:val="00E97DF4"/>
    <w:rsid w:val="00EA0D7F"/>
    <w:rsid w:val="00EA10F1"/>
    <w:rsid w:val="00EA177F"/>
    <w:rsid w:val="00EA1914"/>
    <w:rsid w:val="00EA287B"/>
    <w:rsid w:val="00EA32E0"/>
    <w:rsid w:val="00EA358F"/>
    <w:rsid w:val="00EA428B"/>
    <w:rsid w:val="00EA435E"/>
    <w:rsid w:val="00EA5091"/>
    <w:rsid w:val="00EA5CDE"/>
    <w:rsid w:val="00EA7173"/>
    <w:rsid w:val="00EB1EDE"/>
    <w:rsid w:val="00EB28EC"/>
    <w:rsid w:val="00EB33A7"/>
    <w:rsid w:val="00EB33C7"/>
    <w:rsid w:val="00EB3EBD"/>
    <w:rsid w:val="00EB49C7"/>
    <w:rsid w:val="00EB5DE9"/>
    <w:rsid w:val="00EB62F5"/>
    <w:rsid w:val="00EB671B"/>
    <w:rsid w:val="00EB6ABF"/>
    <w:rsid w:val="00EB784B"/>
    <w:rsid w:val="00EB78EB"/>
    <w:rsid w:val="00EC0953"/>
    <w:rsid w:val="00EC1437"/>
    <w:rsid w:val="00EC202E"/>
    <w:rsid w:val="00EC228C"/>
    <w:rsid w:val="00EC3CBD"/>
    <w:rsid w:val="00EC4743"/>
    <w:rsid w:val="00EC5DBF"/>
    <w:rsid w:val="00EC61A9"/>
    <w:rsid w:val="00EC63D7"/>
    <w:rsid w:val="00EC65EE"/>
    <w:rsid w:val="00EC6C11"/>
    <w:rsid w:val="00EC7922"/>
    <w:rsid w:val="00ED17B1"/>
    <w:rsid w:val="00ED17E9"/>
    <w:rsid w:val="00ED2A9C"/>
    <w:rsid w:val="00ED2C94"/>
    <w:rsid w:val="00ED3815"/>
    <w:rsid w:val="00ED5D4A"/>
    <w:rsid w:val="00ED61B5"/>
    <w:rsid w:val="00ED6372"/>
    <w:rsid w:val="00ED7328"/>
    <w:rsid w:val="00ED7822"/>
    <w:rsid w:val="00ED7B24"/>
    <w:rsid w:val="00EE00A6"/>
    <w:rsid w:val="00EE2349"/>
    <w:rsid w:val="00EE4867"/>
    <w:rsid w:val="00EE5169"/>
    <w:rsid w:val="00EE550F"/>
    <w:rsid w:val="00EE642C"/>
    <w:rsid w:val="00EE6C0C"/>
    <w:rsid w:val="00EE773C"/>
    <w:rsid w:val="00EE788F"/>
    <w:rsid w:val="00EE7CB6"/>
    <w:rsid w:val="00EF0317"/>
    <w:rsid w:val="00EF1FCC"/>
    <w:rsid w:val="00EF2450"/>
    <w:rsid w:val="00EF3E15"/>
    <w:rsid w:val="00EF3F28"/>
    <w:rsid w:val="00EF4D94"/>
    <w:rsid w:val="00EF54FD"/>
    <w:rsid w:val="00EF5AEE"/>
    <w:rsid w:val="00EF705A"/>
    <w:rsid w:val="00F01E5E"/>
    <w:rsid w:val="00F0329A"/>
    <w:rsid w:val="00F0456F"/>
    <w:rsid w:val="00F059F1"/>
    <w:rsid w:val="00F1097E"/>
    <w:rsid w:val="00F11FF9"/>
    <w:rsid w:val="00F12A95"/>
    <w:rsid w:val="00F15092"/>
    <w:rsid w:val="00F158B1"/>
    <w:rsid w:val="00F15FD5"/>
    <w:rsid w:val="00F165BB"/>
    <w:rsid w:val="00F21642"/>
    <w:rsid w:val="00F219B7"/>
    <w:rsid w:val="00F21C67"/>
    <w:rsid w:val="00F21CDD"/>
    <w:rsid w:val="00F21D37"/>
    <w:rsid w:val="00F21ECC"/>
    <w:rsid w:val="00F21FFE"/>
    <w:rsid w:val="00F223D4"/>
    <w:rsid w:val="00F239DC"/>
    <w:rsid w:val="00F23FD7"/>
    <w:rsid w:val="00F2568B"/>
    <w:rsid w:val="00F25809"/>
    <w:rsid w:val="00F25E74"/>
    <w:rsid w:val="00F25EE2"/>
    <w:rsid w:val="00F26215"/>
    <w:rsid w:val="00F264C6"/>
    <w:rsid w:val="00F303DA"/>
    <w:rsid w:val="00F31257"/>
    <w:rsid w:val="00F34C64"/>
    <w:rsid w:val="00F36773"/>
    <w:rsid w:val="00F36888"/>
    <w:rsid w:val="00F36D92"/>
    <w:rsid w:val="00F40A9B"/>
    <w:rsid w:val="00F41071"/>
    <w:rsid w:val="00F41A40"/>
    <w:rsid w:val="00F42505"/>
    <w:rsid w:val="00F432A7"/>
    <w:rsid w:val="00F434D2"/>
    <w:rsid w:val="00F441D0"/>
    <w:rsid w:val="00F45C23"/>
    <w:rsid w:val="00F47268"/>
    <w:rsid w:val="00F473E0"/>
    <w:rsid w:val="00F47D5B"/>
    <w:rsid w:val="00F51370"/>
    <w:rsid w:val="00F515B9"/>
    <w:rsid w:val="00F51DAF"/>
    <w:rsid w:val="00F52E87"/>
    <w:rsid w:val="00F546F0"/>
    <w:rsid w:val="00F54E58"/>
    <w:rsid w:val="00F54FEB"/>
    <w:rsid w:val="00F55183"/>
    <w:rsid w:val="00F56768"/>
    <w:rsid w:val="00F56C0A"/>
    <w:rsid w:val="00F57627"/>
    <w:rsid w:val="00F57EBD"/>
    <w:rsid w:val="00F62106"/>
    <w:rsid w:val="00F6227E"/>
    <w:rsid w:val="00F62388"/>
    <w:rsid w:val="00F62ED6"/>
    <w:rsid w:val="00F63720"/>
    <w:rsid w:val="00F63CC7"/>
    <w:rsid w:val="00F6481A"/>
    <w:rsid w:val="00F64EE8"/>
    <w:rsid w:val="00F65C4E"/>
    <w:rsid w:val="00F66A16"/>
    <w:rsid w:val="00F677ED"/>
    <w:rsid w:val="00F71048"/>
    <w:rsid w:val="00F7140B"/>
    <w:rsid w:val="00F72000"/>
    <w:rsid w:val="00F7403D"/>
    <w:rsid w:val="00F761FD"/>
    <w:rsid w:val="00F766D3"/>
    <w:rsid w:val="00F7725B"/>
    <w:rsid w:val="00F80A91"/>
    <w:rsid w:val="00F81D2D"/>
    <w:rsid w:val="00F822BE"/>
    <w:rsid w:val="00F82C83"/>
    <w:rsid w:val="00F82F51"/>
    <w:rsid w:val="00F82FB2"/>
    <w:rsid w:val="00F84369"/>
    <w:rsid w:val="00F8517B"/>
    <w:rsid w:val="00F85BAC"/>
    <w:rsid w:val="00F8624B"/>
    <w:rsid w:val="00F870CB"/>
    <w:rsid w:val="00F875F3"/>
    <w:rsid w:val="00F87BD1"/>
    <w:rsid w:val="00F87CA8"/>
    <w:rsid w:val="00F904BD"/>
    <w:rsid w:val="00F90BAE"/>
    <w:rsid w:val="00F91824"/>
    <w:rsid w:val="00F91855"/>
    <w:rsid w:val="00F91F2D"/>
    <w:rsid w:val="00F92831"/>
    <w:rsid w:val="00F9320A"/>
    <w:rsid w:val="00F96043"/>
    <w:rsid w:val="00F96C77"/>
    <w:rsid w:val="00FA0029"/>
    <w:rsid w:val="00FA0788"/>
    <w:rsid w:val="00FA10C2"/>
    <w:rsid w:val="00FA332E"/>
    <w:rsid w:val="00FA3E9B"/>
    <w:rsid w:val="00FA467A"/>
    <w:rsid w:val="00FA60D4"/>
    <w:rsid w:val="00FA65EB"/>
    <w:rsid w:val="00FA6B69"/>
    <w:rsid w:val="00FB03F6"/>
    <w:rsid w:val="00FB2939"/>
    <w:rsid w:val="00FB44C4"/>
    <w:rsid w:val="00FB4C07"/>
    <w:rsid w:val="00FB4CE7"/>
    <w:rsid w:val="00FB583B"/>
    <w:rsid w:val="00FB63EA"/>
    <w:rsid w:val="00FB7315"/>
    <w:rsid w:val="00FB7FCF"/>
    <w:rsid w:val="00FC080A"/>
    <w:rsid w:val="00FC3067"/>
    <w:rsid w:val="00FC3E3F"/>
    <w:rsid w:val="00FC3E9F"/>
    <w:rsid w:val="00FC498A"/>
    <w:rsid w:val="00FC5D05"/>
    <w:rsid w:val="00FC6367"/>
    <w:rsid w:val="00FC6727"/>
    <w:rsid w:val="00FC7C20"/>
    <w:rsid w:val="00FD10DB"/>
    <w:rsid w:val="00FD1D94"/>
    <w:rsid w:val="00FD28B7"/>
    <w:rsid w:val="00FD320B"/>
    <w:rsid w:val="00FD3302"/>
    <w:rsid w:val="00FD3807"/>
    <w:rsid w:val="00FD4A86"/>
    <w:rsid w:val="00FD6005"/>
    <w:rsid w:val="00FE19AA"/>
    <w:rsid w:val="00FE22AF"/>
    <w:rsid w:val="00FE234B"/>
    <w:rsid w:val="00FE5039"/>
    <w:rsid w:val="00FE5452"/>
    <w:rsid w:val="00FE57D8"/>
    <w:rsid w:val="00FE5AC4"/>
    <w:rsid w:val="00FE5B8F"/>
    <w:rsid w:val="00FE5C85"/>
    <w:rsid w:val="00FE5E29"/>
    <w:rsid w:val="00FE61CA"/>
    <w:rsid w:val="00FE638F"/>
    <w:rsid w:val="00FE6DE0"/>
    <w:rsid w:val="00FE7276"/>
    <w:rsid w:val="00FF04B1"/>
    <w:rsid w:val="00FF116D"/>
    <w:rsid w:val="00FF1681"/>
    <w:rsid w:val="00FF466E"/>
    <w:rsid w:val="00FF57A3"/>
    <w:rsid w:val="00FF59F7"/>
    <w:rsid w:val="00FF5ED9"/>
    <w:rsid w:val="00FF6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EA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19"/>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27337E"/>
    <w:pPr>
      <w:keepNext/>
      <w:keepLines/>
      <w:spacing w:before="240"/>
      <w:outlineLvl w:val="0"/>
    </w:pPr>
    <w:rPr>
      <w:rFonts w:ascii="Bookman Old Style" w:eastAsiaTheme="majorEastAsia" w:hAnsi="Bookman Old Style" w:cstheme="majorBidi"/>
      <w:b/>
      <w:color w:val="000000" w:themeColor="text1"/>
      <w:sz w:val="22"/>
      <w:szCs w:val="32"/>
    </w:rPr>
  </w:style>
  <w:style w:type="paragraph" w:styleId="Ttulo2">
    <w:name w:val="heading 2"/>
    <w:basedOn w:val="Normal"/>
    <w:next w:val="Normal"/>
    <w:link w:val="Ttulo2Car"/>
    <w:uiPriority w:val="9"/>
    <w:unhideWhenUsed/>
    <w:qFormat/>
    <w:rsid w:val="0027337E"/>
    <w:pPr>
      <w:keepNext/>
      <w:keepLines/>
      <w:spacing w:before="40"/>
      <w:outlineLvl w:val="1"/>
    </w:pPr>
    <w:rPr>
      <w:rFonts w:ascii="Bookman Old Style" w:eastAsiaTheme="majorEastAsia" w:hAnsi="Bookman Old Style" w:cstheme="majorBidi"/>
      <w:b/>
      <w:color w:val="000000" w:themeColor="text1"/>
      <w:sz w:val="22"/>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337E"/>
    <w:rPr>
      <w:rFonts w:ascii="Bookman Old Style" w:eastAsiaTheme="majorEastAsia" w:hAnsi="Bookman Old Style" w:cstheme="majorBidi"/>
      <w:b/>
      <w:color w:val="000000" w:themeColor="text1"/>
      <w:szCs w:val="32"/>
      <w:lang w:eastAsia="es-CO"/>
    </w:rPr>
  </w:style>
  <w:style w:type="character" w:customStyle="1" w:styleId="Ttulo2Car">
    <w:name w:val="Título 2 Car"/>
    <w:basedOn w:val="Fuentedeprrafopredeter"/>
    <w:link w:val="Ttulo2"/>
    <w:uiPriority w:val="9"/>
    <w:rsid w:val="0027337E"/>
    <w:rPr>
      <w:rFonts w:ascii="Bookman Old Style" w:eastAsiaTheme="majorEastAsia" w:hAnsi="Bookman Old Style" w:cstheme="majorBidi"/>
      <w:b/>
      <w:color w:val="000000" w:themeColor="text1"/>
      <w:szCs w:val="26"/>
      <w:lang w:eastAsia="es-CO"/>
    </w:rPr>
  </w:style>
  <w:style w:type="character" w:styleId="Hipervnculo">
    <w:name w:val="Hyperlink"/>
    <w:basedOn w:val="Fuentedeprrafopredeter"/>
    <w:uiPriority w:val="99"/>
    <w:unhideWhenUsed/>
    <w:rsid w:val="008B3619"/>
    <w:rPr>
      <w:color w:val="0000FF"/>
      <w:w w:val="100"/>
      <w:u w:val="thick" w:color="0000FF"/>
    </w:rPr>
  </w:style>
  <w:style w:type="paragraph" w:styleId="NormalWeb">
    <w:name w:val="Normal (Web)"/>
    <w:basedOn w:val="Normal"/>
    <w:uiPriority w:val="99"/>
    <w:unhideWhenUsed/>
    <w:rsid w:val="008B3619"/>
    <w:pPr>
      <w:spacing w:before="100" w:beforeAutospacing="1" w:after="100" w:afterAutospacing="1"/>
    </w:pPr>
  </w:style>
  <w:style w:type="character" w:styleId="Textoennegrita">
    <w:name w:val="Strong"/>
    <w:basedOn w:val="Fuentedeprrafopredeter"/>
    <w:uiPriority w:val="22"/>
    <w:qFormat/>
    <w:rsid w:val="008B3619"/>
    <w:rPr>
      <w:b/>
      <w:bC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qFormat/>
    <w:rsid w:val="008B3619"/>
    <w:pPr>
      <w:tabs>
        <w:tab w:val="left" w:pos="300"/>
      </w:tabs>
      <w:autoSpaceDE w:val="0"/>
      <w:autoSpaceDN w:val="0"/>
      <w:adjustRightInd w:val="0"/>
      <w:spacing w:line="210" w:lineRule="atLeast"/>
      <w:ind w:left="320" w:hanging="320"/>
      <w:jc w:val="both"/>
    </w:pPr>
    <w:rPr>
      <w:color w:val="000000"/>
      <w:sz w:val="20"/>
      <w:szCs w:val="20"/>
      <w:lang w:val="es-ES_tradnl"/>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8B3619"/>
    <w:rPr>
      <w:rFonts w:ascii="Times New Roman" w:eastAsia="Times New Roman" w:hAnsi="Times New Roman" w:cs="Times New Roman"/>
      <w:color w:val="000000"/>
      <w:sz w:val="20"/>
      <w:szCs w:val="20"/>
      <w:lang w:val="es-ES_tradnl" w:eastAsia="es-CO"/>
    </w:rPr>
  </w:style>
  <w:style w:type="paragraph" w:styleId="Textosinformato">
    <w:name w:val="Plain Text"/>
    <w:basedOn w:val="Normal"/>
    <w:link w:val="TextosinformatoCar"/>
    <w:uiPriority w:val="99"/>
    <w:semiHidden/>
    <w:unhideWhenUsed/>
    <w:rsid w:val="008B3619"/>
    <w:rPr>
      <w:rFonts w:ascii="Courier New" w:hAnsi="Courier New" w:cs="Courier New"/>
      <w:sz w:val="20"/>
      <w:szCs w:val="20"/>
    </w:rPr>
  </w:style>
  <w:style w:type="character" w:customStyle="1" w:styleId="TextosinformatoCar">
    <w:name w:val="Texto sin formato Car"/>
    <w:basedOn w:val="Fuentedeprrafopredeter"/>
    <w:link w:val="Textosinformato"/>
    <w:uiPriority w:val="99"/>
    <w:semiHidden/>
    <w:rsid w:val="008B3619"/>
    <w:rPr>
      <w:rFonts w:ascii="Courier New" w:eastAsia="Times New Roman" w:hAnsi="Courier New" w:cs="Courier New"/>
      <w:sz w:val="20"/>
      <w:szCs w:val="20"/>
      <w:lang w:eastAsia="es-CO"/>
    </w:rPr>
  </w:style>
  <w:style w:type="paragraph" w:customStyle="1" w:styleId="msofoo">
    <w:name w:val="msofoo"/>
    <w:basedOn w:val="Normal"/>
    <w:rsid w:val="008B3619"/>
    <w:pPr>
      <w:spacing w:before="100" w:beforeAutospacing="1" w:after="100" w:afterAutospacing="1"/>
    </w:pPr>
  </w:style>
  <w:style w:type="paragraph" w:customStyle="1" w:styleId="msofootno">
    <w:name w:val="msofootno"/>
    <w:basedOn w:val="Normal"/>
    <w:rsid w:val="008B3619"/>
    <w:pPr>
      <w:spacing w:before="100" w:beforeAutospacing="1" w:after="100" w:afterAutospacing="1"/>
    </w:pPr>
  </w:style>
  <w:style w:type="paragraph" w:customStyle="1" w:styleId="CM6">
    <w:name w:val="CM6"/>
    <w:basedOn w:val="Normal"/>
    <w:next w:val="Normal"/>
    <w:uiPriority w:val="99"/>
    <w:rsid w:val="00F23FD7"/>
    <w:pPr>
      <w:autoSpaceDE w:val="0"/>
      <w:autoSpaceDN w:val="0"/>
      <w:adjustRightInd w:val="0"/>
    </w:pPr>
    <w:rPr>
      <w:rFonts w:ascii="Georgia" w:eastAsiaTheme="minorHAnsi" w:hAnsi="Georgia" w:cstheme="minorBidi"/>
      <w:lang w:eastAsia="en-US"/>
    </w:rPr>
  </w:style>
  <w:style w:type="paragraph" w:styleId="Encabezado">
    <w:name w:val="header"/>
    <w:basedOn w:val="Normal"/>
    <w:link w:val="EncabezadoCar"/>
    <w:uiPriority w:val="99"/>
    <w:unhideWhenUsed/>
    <w:rsid w:val="00F23FD7"/>
    <w:pPr>
      <w:tabs>
        <w:tab w:val="center" w:pos="4419"/>
        <w:tab w:val="right" w:pos="8838"/>
      </w:tabs>
    </w:pPr>
  </w:style>
  <w:style w:type="character" w:customStyle="1" w:styleId="EncabezadoCar">
    <w:name w:val="Encabezado Car"/>
    <w:basedOn w:val="Fuentedeprrafopredeter"/>
    <w:link w:val="Encabezado"/>
    <w:uiPriority w:val="99"/>
    <w:rsid w:val="00F23FD7"/>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F23FD7"/>
    <w:pPr>
      <w:tabs>
        <w:tab w:val="center" w:pos="4419"/>
        <w:tab w:val="right" w:pos="8838"/>
      </w:tabs>
    </w:pPr>
  </w:style>
  <w:style w:type="character" w:customStyle="1" w:styleId="PiedepginaCar">
    <w:name w:val="Pie de página Car"/>
    <w:basedOn w:val="Fuentedeprrafopredeter"/>
    <w:link w:val="Piedepgina"/>
    <w:uiPriority w:val="99"/>
    <w:rsid w:val="00F23FD7"/>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3F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FD7"/>
    <w:rPr>
      <w:rFonts w:ascii="Tahoma" w:eastAsia="Times New Roman" w:hAnsi="Tahoma" w:cs="Tahoma"/>
      <w:sz w:val="16"/>
      <w:szCs w:val="16"/>
      <w:lang w:eastAsia="es-CO"/>
    </w:rPr>
  </w:style>
  <w:style w:type="paragraph" w:styleId="Prrafodelista">
    <w:name w:val="List Paragraph"/>
    <w:aliases w:val="Ha,Resume Title"/>
    <w:basedOn w:val="Normal"/>
    <w:link w:val="PrrafodelistaCar"/>
    <w:uiPriority w:val="34"/>
    <w:qFormat/>
    <w:rsid w:val="004A0C9C"/>
    <w:pPr>
      <w:ind w:left="720"/>
      <w:contextualSpacing/>
    </w:pPr>
  </w:style>
  <w:style w:type="character" w:customStyle="1" w:styleId="PrrafodelistaCar">
    <w:name w:val="Párrafo de lista Car"/>
    <w:aliases w:val="Ha Car,Resume Title Car"/>
    <w:link w:val="Prrafodelista"/>
    <w:uiPriority w:val="34"/>
    <w:locked/>
    <w:rsid w:val="006A3355"/>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4A0C9C"/>
  </w:style>
  <w:style w:type="paragraph" w:styleId="Sinespaciado">
    <w:name w:val="No Spacing"/>
    <w:link w:val="SinespaciadoCar"/>
    <w:uiPriority w:val="1"/>
    <w:qFormat/>
    <w:rsid w:val="00E46E08"/>
    <w:pPr>
      <w:spacing w:after="0" w:line="240" w:lineRule="auto"/>
    </w:pPr>
  </w:style>
  <w:style w:type="character" w:customStyle="1" w:styleId="SinespaciadoCar">
    <w:name w:val="Sin espaciado Car"/>
    <w:link w:val="Sinespaciado"/>
    <w:uiPriority w:val="1"/>
    <w:locked/>
    <w:rsid w:val="00E9488F"/>
  </w:style>
  <w:style w:type="character" w:styleId="Refdenotaalpie">
    <w:name w:val="footnote reference"/>
    <w:aliases w:val="referencia nota al pie,Nota de pie,Texto nota al pie,BVI fnr,Ref. de nota al pie2,Ref,de nota al pie,Footnote symbol,Footnote,Pie de pagina,Fußnotenzeichen DISS,16 Point,Superscript 6 Point,ftref,FC,Ref1,f,ftr,Footnotes refss,F"/>
    <w:basedOn w:val="Fuentedeprrafopredeter"/>
    <w:uiPriority w:val="99"/>
    <w:unhideWhenUsed/>
    <w:qFormat/>
    <w:rsid w:val="00077999"/>
    <w:rPr>
      <w:vertAlign w:val="superscript"/>
    </w:rPr>
  </w:style>
  <w:style w:type="table" w:styleId="Tablaconcuadrcula">
    <w:name w:val="Table Grid"/>
    <w:basedOn w:val="Tablanormal"/>
    <w:uiPriority w:val="39"/>
    <w:rsid w:val="00627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A60D4"/>
    <w:rPr>
      <w:sz w:val="16"/>
      <w:szCs w:val="16"/>
    </w:rPr>
  </w:style>
  <w:style w:type="paragraph" w:styleId="Textocomentario">
    <w:name w:val="annotation text"/>
    <w:basedOn w:val="Normal"/>
    <w:link w:val="TextocomentarioCar"/>
    <w:uiPriority w:val="99"/>
    <w:unhideWhenUsed/>
    <w:rsid w:val="00FA60D4"/>
    <w:rPr>
      <w:sz w:val="20"/>
      <w:szCs w:val="20"/>
    </w:rPr>
  </w:style>
  <w:style w:type="character" w:customStyle="1" w:styleId="TextocomentarioCar">
    <w:name w:val="Texto comentario Car"/>
    <w:basedOn w:val="Fuentedeprrafopredeter"/>
    <w:link w:val="Textocomentario"/>
    <w:uiPriority w:val="99"/>
    <w:rsid w:val="00FA60D4"/>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FA60D4"/>
    <w:rPr>
      <w:b/>
      <w:bCs/>
    </w:rPr>
  </w:style>
  <w:style w:type="character" w:customStyle="1" w:styleId="AsuntodelcomentarioCar">
    <w:name w:val="Asunto del comentario Car"/>
    <w:basedOn w:val="TextocomentarioCar"/>
    <w:link w:val="Asuntodelcomentario"/>
    <w:uiPriority w:val="99"/>
    <w:semiHidden/>
    <w:rsid w:val="00FA60D4"/>
    <w:rPr>
      <w:rFonts w:ascii="Times New Roman" w:eastAsia="Times New Roman" w:hAnsi="Times New Roman" w:cs="Times New Roman"/>
      <w:b/>
      <w:bCs/>
      <w:sz w:val="20"/>
      <w:szCs w:val="20"/>
      <w:lang w:eastAsia="es-CO"/>
    </w:rPr>
  </w:style>
  <w:style w:type="paragraph" w:styleId="Puesto">
    <w:name w:val="Title"/>
    <w:basedOn w:val="Normal"/>
    <w:next w:val="Normal"/>
    <w:link w:val="PuestoCar"/>
    <w:qFormat/>
    <w:rsid w:val="0027525D"/>
    <w:pPr>
      <w:contextualSpacing/>
    </w:pPr>
    <w:rPr>
      <w:rFonts w:asciiTheme="majorHAnsi" w:eastAsiaTheme="majorEastAsia" w:hAnsiTheme="majorHAnsi" w:cstheme="majorBidi"/>
      <w:spacing w:val="-10"/>
      <w:kern w:val="28"/>
      <w:sz w:val="56"/>
      <w:szCs w:val="56"/>
      <w:lang w:eastAsia="en-US"/>
    </w:rPr>
  </w:style>
  <w:style w:type="character" w:customStyle="1" w:styleId="PuestoCar">
    <w:name w:val="Puesto Car"/>
    <w:basedOn w:val="Fuentedeprrafopredeter"/>
    <w:link w:val="Puesto"/>
    <w:rsid w:val="0027525D"/>
    <w:rPr>
      <w:rFonts w:asciiTheme="majorHAnsi" w:eastAsiaTheme="majorEastAsia" w:hAnsiTheme="majorHAnsi" w:cstheme="majorBidi"/>
      <w:spacing w:val="-10"/>
      <w:kern w:val="28"/>
      <w:sz w:val="56"/>
      <w:szCs w:val="56"/>
    </w:rPr>
  </w:style>
  <w:style w:type="character" w:customStyle="1" w:styleId="highlight">
    <w:name w:val="highlight"/>
    <w:basedOn w:val="Fuentedeprrafopredeter"/>
    <w:rsid w:val="005A0CE9"/>
  </w:style>
  <w:style w:type="character" w:styleId="Hipervnculovisitado">
    <w:name w:val="FollowedHyperlink"/>
    <w:basedOn w:val="Fuentedeprrafopredeter"/>
    <w:uiPriority w:val="99"/>
    <w:semiHidden/>
    <w:unhideWhenUsed/>
    <w:rsid w:val="001D37EF"/>
    <w:rPr>
      <w:color w:val="800080" w:themeColor="followedHyperlink"/>
      <w:u w:val="single"/>
    </w:rPr>
  </w:style>
  <w:style w:type="paragraph" w:styleId="Mapadeldocumento">
    <w:name w:val="Document Map"/>
    <w:basedOn w:val="Normal"/>
    <w:link w:val="MapadeldocumentoCar"/>
    <w:uiPriority w:val="99"/>
    <w:semiHidden/>
    <w:unhideWhenUsed/>
    <w:rsid w:val="00F82FB2"/>
  </w:style>
  <w:style w:type="character" w:customStyle="1" w:styleId="MapadeldocumentoCar">
    <w:name w:val="Mapa del documento Car"/>
    <w:basedOn w:val="Fuentedeprrafopredeter"/>
    <w:link w:val="Mapadeldocumento"/>
    <w:uiPriority w:val="99"/>
    <w:semiHidden/>
    <w:rsid w:val="00F82FB2"/>
    <w:rPr>
      <w:rFonts w:ascii="Times New Roman" w:eastAsia="Times New Roman" w:hAnsi="Times New Roman" w:cs="Times New Roman"/>
      <w:sz w:val="24"/>
      <w:szCs w:val="24"/>
      <w:lang w:eastAsia="es-CO"/>
    </w:rPr>
  </w:style>
  <w:style w:type="paragraph" w:styleId="Textonotaalfinal">
    <w:name w:val="endnote text"/>
    <w:basedOn w:val="Normal"/>
    <w:link w:val="TextonotaalfinalCar"/>
    <w:uiPriority w:val="99"/>
    <w:semiHidden/>
    <w:unhideWhenUsed/>
    <w:rsid w:val="0027337E"/>
    <w:rPr>
      <w:sz w:val="20"/>
      <w:szCs w:val="20"/>
    </w:rPr>
  </w:style>
  <w:style w:type="character" w:customStyle="1" w:styleId="TextonotaalfinalCar">
    <w:name w:val="Texto nota al final Car"/>
    <w:basedOn w:val="Fuentedeprrafopredeter"/>
    <w:link w:val="Textonotaalfinal"/>
    <w:uiPriority w:val="99"/>
    <w:semiHidden/>
    <w:rsid w:val="0027337E"/>
    <w:rPr>
      <w:rFonts w:ascii="Times New Roman" w:eastAsia="Times New Roman" w:hAnsi="Times New Roman" w:cs="Times New Roman"/>
      <w:sz w:val="20"/>
      <w:szCs w:val="20"/>
      <w:lang w:eastAsia="es-CO"/>
    </w:rPr>
  </w:style>
  <w:style w:type="character" w:customStyle="1" w:styleId="published-at">
    <w:name w:val="published-at"/>
    <w:basedOn w:val="Fuentedeprrafopredeter"/>
    <w:rsid w:val="0027337E"/>
  </w:style>
  <w:style w:type="character" w:customStyle="1" w:styleId="mw-headline">
    <w:name w:val="mw-headline"/>
    <w:rsid w:val="0027337E"/>
  </w:style>
  <w:style w:type="paragraph" w:styleId="TDC1">
    <w:name w:val="toc 1"/>
    <w:basedOn w:val="Normal"/>
    <w:next w:val="Normal"/>
    <w:autoRedefine/>
    <w:uiPriority w:val="39"/>
    <w:unhideWhenUsed/>
    <w:rsid w:val="001A2E51"/>
    <w:pPr>
      <w:tabs>
        <w:tab w:val="left" w:pos="480"/>
        <w:tab w:val="right" w:leader="dot" w:pos="8828"/>
      </w:tabs>
    </w:pPr>
  </w:style>
  <w:style w:type="paragraph" w:styleId="TDC2">
    <w:name w:val="toc 2"/>
    <w:basedOn w:val="Normal"/>
    <w:next w:val="Normal"/>
    <w:autoRedefine/>
    <w:uiPriority w:val="39"/>
    <w:unhideWhenUsed/>
    <w:rsid w:val="0027337E"/>
    <w:pPr>
      <w:tabs>
        <w:tab w:val="left" w:pos="960"/>
        <w:tab w:val="right" w:leader="dot" w:pos="8828"/>
      </w:tabs>
      <w:ind w:left="240"/>
      <w:jc w:val="both"/>
    </w:pPr>
  </w:style>
  <w:style w:type="paragraph" w:styleId="TDC3">
    <w:name w:val="toc 3"/>
    <w:basedOn w:val="Normal"/>
    <w:next w:val="Normal"/>
    <w:autoRedefine/>
    <w:uiPriority w:val="39"/>
    <w:unhideWhenUsed/>
    <w:rsid w:val="0027337E"/>
    <w:pPr>
      <w:ind w:left="480"/>
    </w:pPr>
  </w:style>
  <w:style w:type="paragraph" w:styleId="TDC4">
    <w:name w:val="toc 4"/>
    <w:basedOn w:val="Normal"/>
    <w:next w:val="Normal"/>
    <w:autoRedefine/>
    <w:uiPriority w:val="39"/>
    <w:unhideWhenUsed/>
    <w:rsid w:val="0027337E"/>
    <w:pPr>
      <w:ind w:left="720"/>
    </w:pPr>
  </w:style>
  <w:style w:type="paragraph" w:styleId="TDC5">
    <w:name w:val="toc 5"/>
    <w:basedOn w:val="Normal"/>
    <w:next w:val="Normal"/>
    <w:autoRedefine/>
    <w:uiPriority w:val="39"/>
    <w:unhideWhenUsed/>
    <w:rsid w:val="0027337E"/>
    <w:pPr>
      <w:ind w:left="960"/>
    </w:pPr>
  </w:style>
  <w:style w:type="paragraph" w:styleId="TDC6">
    <w:name w:val="toc 6"/>
    <w:basedOn w:val="Normal"/>
    <w:next w:val="Normal"/>
    <w:autoRedefine/>
    <w:uiPriority w:val="39"/>
    <w:unhideWhenUsed/>
    <w:rsid w:val="0027337E"/>
    <w:pPr>
      <w:ind w:left="1200"/>
    </w:pPr>
  </w:style>
  <w:style w:type="paragraph" w:styleId="TDC7">
    <w:name w:val="toc 7"/>
    <w:basedOn w:val="Normal"/>
    <w:next w:val="Normal"/>
    <w:autoRedefine/>
    <w:uiPriority w:val="39"/>
    <w:unhideWhenUsed/>
    <w:rsid w:val="0027337E"/>
    <w:pPr>
      <w:ind w:left="1440"/>
    </w:pPr>
  </w:style>
  <w:style w:type="paragraph" w:styleId="TDC8">
    <w:name w:val="toc 8"/>
    <w:basedOn w:val="Normal"/>
    <w:next w:val="Normal"/>
    <w:autoRedefine/>
    <w:uiPriority w:val="39"/>
    <w:unhideWhenUsed/>
    <w:rsid w:val="0027337E"/>
    <w:pPr>
      <w:ind w:left="1680"/>
    </w:pPr>
  </w:style>
  <w:style w:type="paragraph" w:styleId="TDC9">
    <w:name w:val="toc 9"/>
    <w:basedOn w:val="Normal"/>
    <w:next w:val="Normal"/>
    <w:autoRedefine/>
    <w:uiPriority w:val="39"/>
    <w:unhideWhenUsed/>
    <w:rsid w:val="0027337E"/>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20872">
      <w:bodyDiv w:val="1"/>
      <w:marLeft w:val="0"/>
      <w:marRight w:val="0"/>
      <w:marTop w:val="0"/>
      <w:marBottom w:val="0"/>
      <w:divBdr>
        <w:top w:val="none" w:sz="0" w:space="0" w:color="auto"/>
        <w:left w:val="none" w:sz="0" w:space="0" w:color="auto"/>
        <w:bottom w:val="none" w:sz="0" w:space="0" w:color="auto"/>
        <w:right w:val="none" w:sz="0" w:space="0" w:color="auto"/>
      </w:divBdr>
    </w:div>
    <w:div w:id="259796563">
      <w:bodyDiv w:val="1"/>
      <w:marLeft w:val="0"/>
      <w:marRight w:val="0"/>
      <w:marTop w:val="0"/>
      <w:marBottom w:val="0"/>
      <w:divBdr>
        <w:top w:val="none" w:sz="0" w:space="0" w:color="auto"/>
        <w:left w:val="none" w:sz="0" w:space="0" w:color="auto"/>
        <w:bottom w:val="none" w:sz="0" w:space="0" w:color="auto"/>
        <w:right w:val="none" w:sz="0" w:space="0" w:color="auto"/>
      </w:divBdr>
      <w:divsChild>
        <w:div w:id="296490826">
          <w:marLeft w:val="0"/>
          <w:marRight w:val="0"/>
          <w:marTop w:val="0"/>
          <w:marBottom w:val="0"/>
          <w:divBdr>
            <w:top w:val="none" w:sz="0" w:space="0" w:color="auto"/>
            <w:left w:val="none" w:sz="0" w:space="0" w:color="auto"/>
            <w:bottom w:val="none" w:sz="0" w:space="0" w:color="auto"/>
            <w:right w:val="none" w:sz="0" w:space="0" w:color="auto"/>
          </w:divBdr>
          <w:divsChild>
            <w:div w:id="290480068">
              <w:marLeft w:val="0"/>
              <w:marRight w:val="0"/>
              <w:marTop w:val="0"/>
              <w:marBottom w:val="0"/>
              <w:divBdr>
                <w:top w:val="none" w:sz="0" w:space="0" w:color="auto"/>
                <w:left w:val="none" w:sz="0" w:space="0" w:color="auto"/>
                <w:bottom w:val="none" w:sz="0" w:space="0" w:color="auto"/>
                <w:right w:val="none" w:sz="0" w:space="0" w:color="auto"/>
              </w:divBdr>
              <w:divsChild>
                <w:div w:id="803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53141">
      <w:bodyDiv w:val="1"/>
      <w:marLeft w:val="0"/>
      <w:marRight w:val="0"/>
      <w:marTop w:val="0"/>
      <w:marBottom w:val="0"/>
      <w:divBdr>
        <w:top w:val="none" w:sz="0" w:space="0" w:color="auto"/>
        <w:left w:val="none" w:sz="0" w:space="0" w:color="auto"/>
        <w:bottom w:val="none" w:sz="0" w:space="0" w:color="auto"/>
        <w:right w:val="none" w:sz="0" w:space="0" w:color="auto"/>
      </w:divBdr>
    </w:div>
    <w:div w:id="399863925">
      <w:bodyDiv w:val="1"/>
      <w:marLeft w:val="0"/>
      <w:marRight w:val="0"/>
      <w:marTop w:val="0"/>
      <w:marBottom w:val="0"/>
      <w:divBdr>
        <w:top w:val="none" w:sz="0" w:space="0" w:color="auto"/>
        <w:left w:val="none" w:sz="0" w:space="0" w:color="auto"/>
        <w:bottom w:val="none" w:sz="0" w:space="0" w:color="auto"/>
        <w:right w:val="none" w:sz="0" w:space="0" w:color="auto"/>
      </w:divBdr>
    </w:div>
    <w:div w:id="461964367">
      <w:bodyDiv w:val="1"/>
      <w:marLeft w:val="0"/>
      <w:marRight w:val="0"/>
      <w:marTop w:val="0"/>
      <w:marBottom w:val="0"/>
      <w:divBdr>
        <w:top w:val="none" w:sz="0" w:space="0" w:color="auto"/>
        <w:left w:val="none" w:sz="0" w:space="0" w:color="auto"/>
        <w:bottom w:val="none" w:sz="0" w:space="0" w:color="auto"/>
        <w:right w:val="none" w:sz="0" w:space="0" w:color="auto"/>
      </w:divBdr>
    </w:div>
    <w:div w:id="505824256">
      <w:bodyDiv w:val="1"/>
      <w:marLeft w:val="0"/>
      <w:marRight w:val="0"/>
      <w:marTop w:val="0"/>
      <w:marBottom w:val="0"/>
      <w:divBdr>
        <w:top w:val="none" w:sz="0" w:space="0" w:color="auto"/>
        <w:left w:val="none" w:sz="0" w:space="0" w:color="auto"/>
        <w:bottom w:val="none" w:sz="0" w:space="0" w:color="auto"/>
        <w:right w:val="none" w:sz="0" w:space="0" w:color="auto"/>
      </w:divBdr>
      <w:divsChild>
        <w:div w:id="558059151">
          <w:marLeft w:val="0"/>
          <w:marRight w:val="0"/>
          <w:marTop w:val="0"/>
          <w:marBottom w:val="0"/>
          <w:divBdr>
            <w:top w:val="none" w:sz="0" w:space="0" w:color="auto"/>
            <w:left w:val="none" w:sz="0" w:space="0" w:color="auto"/>
            <w:bottom w:val="none" w:sz="0" w:space="0" w:color="auto"/>
            <w:right w:val="none" w:sz="0" w:space="0" w:color="auto"/>
          </w:divBdr>
        </w:div>
        <w:div w:id="1968513527">
          <w:marLeft w:val="0"/>
          <w:marRight w:val="0"/>
          <w:marTop w:val="0"/>
          <w:marBottom w:val="0"/>
          <w:divBdr>
            <w:top w:val="none" w:sz="0" w:space="0" w:color="auto"/>
            <w:left w:val="none" w:sz="0" w:space="0" w:color="auto"/>
            <w:bottom w:val="none" w:sz="0" w:space="0" w:color="auto"/>
            <w:right w:val="none" w:sz="0" w:space="0" w:color="auto"/>
          </w:divBdr>
        </w:div>
      </w:divsChild>
    </w:div>
    <w:div w:id="537208613">
      <w:bodyDiv w:val="1"/>
      <w:marLeft w:val="0"/>
      <w:marRight w:val="0"/>
      <w:marTop w:val="0"/>
      <w:marBottom w:val="0"/>
      <w:divBdr>
        <w:top w:val="none" w:sz="0" w:space="0" w:color="auto"/>
        <w:left w:val="none" w:sz="0" w:space="0" w:color="auto"/>
        <w:bottom w:val="none" w:sz="0" w:space="0" w:color="auto"/>
        <w:right w:val="none" w:sz="0" w:space="0" w:color="auto"/>
      </w:divBdr>
      <w:divsChild>
        <w:div w:id="402996666">
          <w:marLeft w:val="0"/>
          <w:marRight w:val="0"/>
          <w:marTop w:val="0"/>
          <w:marBottom w:val="0"/>
          <w:divBdr>
            <w:top w:val="none" w:sz="0" w:space="0" w:color="auto"/>
            <w:left w:val="none" w:sz="0" w:space="0" w:color="auto"/>
            <w:bottom w:val="none" w:sz="0" w:space="0" w:color="auto"/>
            <w:right w:val="none" w:sz="0" w:space="0" w:color="auto"/>
          </w:divBdr>
          <w:divsChild>
            <w:div w:id="1829511658">
              <w:marLeft w:val="0"/>
              <w:marRight w:val="0"/>
              <w:marTop w:val="0"/>
              <w:marBottom w:val="0"/>
              <w:divBdr>
                <w:top w:val="none" w:sz="0" w:space="0" w:color="auto"/>
                <w:left w:val="none" w:sz="0" w:space="0" w:color="auto"/>
                <w:bottom w:val="none" w:sz="0" w:space="0" w:color="auto"/>
                <w:right w:val="none" w:sz="0" w:space="0" w:color="auto"/>
              </w:divBdr>
              <w:divsChild>
                <w:div w:id="689189285">
                  <w:marLeft w:val="0"/>
                  <w:marRight w:val="0"/>
                  <w:marTop w:val="0"/>
                  <w:marBottom w:val="0"/>
                  <w:divBdr>
                    <w:top w:val="none" w:sz="0" w:space="0" w:color="auto"/>
                    <w:left w:val="none" w:sz="0" w:space="0" w:color="auto"/>
                    <w:bottom w:val="none" w:sz="0" w:space="0" w:color="auto"/>
                    <w:right w:val="none" w:sz="0" w:space="0" w:color="auto"/>
                  </w:divBdr>
                  <w:divsChild>
                    <w:div w:id="1510413461">
                      <w:marLeft w:val="0"/>
                      <w:marRight w:val="0"/>
                      <w:marTop w:val="0"/>
                      <w:marBottom w:val="0"/>
                      <w:divBdr>
                        <w:top w:val="none" w:sz="0" w:space="0" w:color="auto"/>
                        <w:left w:val="none" w:sz="0" w:space="0" w:color="auto"/>
                        <w:bottom w:val="none" w:sz="0" w:space="0" w:color="auto"/>
                        <w:right w:val="none" w:sz="0" w:space="0" w:color="auto"/>
                      </w:divBdr>
                      <w:divsChild>
                        <w:div w:id="15110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258">
                  <w:marLeft w:val="0"/>
                  <w:marRight w:val="0"/>
                  <w:marTop w:val="0"/>
                  <w:marBottom w:val="0"/>
                  <w:divBdr>
                    <w:top w:val="none" w:sz="0" w:space="0" w:color="auto"/>
                    <w:left w:val="none" w:sz="0" w:space="0" w:color="auto"/>
                    <w:bottom w:val="none" w:sz="0" w:space="0" w:color="auto"/>
                    <w:right w:val="none" w:sz="0" w:space="0" w:color="auto"/>
                  </w:divBdr>
                  <w:divsChild>
                    <w:div w:id="1481118087">
                      <w:marLeft w:val="0"/>
                      <w:marRight w:val="0"/>
                      <w:marTop w:val="0"/>
                      <w:marBottom w:val="0"/>
                      <w:divBdr>
                        <w:top w:val="none" w:sz="0" w:space="0" w:color="auto"/>
                        <w:left w:val="none" w:sz="0" w:space="0" w:color="auto"/>
                        <w:bottom w:val="none" w:sz="0" w:space="0" w:color="auto"/>
                        <w:right w:val="none" w:sz="0" w:space="0" w:color="auto"/>
                      </w:divBdr>
                      <w:divsChild>
                        <w:div w:id="5043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8304">
              <w:marLeft w:val="0"/>
              <w:marRight w:val="0"/>
              <w:marTop w:val="0"/>
              <w:marBottom w:val="0"/>
              <w:divBdr>
                <w:top w:val="none" w:sz="0" w:space="0" w:color="auto"/>
                <w:left w:val="none" w:sz="0" w:space="0" w:color="auto"/>
                <w:bottom w:val="none" w:sz="0" w:space="0" w:color="auto"/>
                <w:right w:val="none" w:sz="0" w:space="0" w:color="auto"/>
              </w:divBdr>
              <w:divsChild>
                <w:div w:id="1223564964">
                  <w:marLeft w:val="0"/>
                  <w:marRight w:val="0"/>
                  <w:marTop w:val="0"/>
                  <w:marBottom w:val="0"/>
                  <w:divBdr>
                    <w:top w:val="none" w:sz="0" w:space="0" w:color="auto"/>
                    <w:left w:val="none" w:sz="0" w:space="0" w:color="auto"/>
                    <w:bottom w:val="none" w:sz="0" w:space="0" w:color="auto"/>
                    <w:right w:val="none" w:sz="0" w:space="0" w:color="auto"/>
                  </w:divBdr>
                  <w:divsChild>
                    <w:div w:id="966810636">
                      <w:marLeft w:val="0"/>
                      <w:marRight w:val="0"/>
                      <w:marTop w:val="0"/>
                      <w:marBottom w:val="0"/>
                      <w:divBdr>
                        <w:top w:val="none" w:sz="0" w:space="0" w:color="auto"/>
                        <w:left w:val="none" w:sz="0" w:space="0" w:color="auto"/>
                        <w:bottom w:val="none" w:sz="0" w:space="0" w:color="auto"/>
                        <w:right w:val="none" w:sz="0" w:space="0" w:color="auto"/>
                      </w:divBdr>
                      <w:divsChild>
                        <w:div w:id="7078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465">
                  <w:marLeft w:val="0"/>
                  <w:marRight w:val="0"/>
                  <w:marTop w:val="0"/>
                  <w:marBottom w:val="0"/>
                  <w:divBdr>
                    <w:top w:val="none" w:sz="0" w:space="0" w:color="auto"/>
                    <w:left w:val="none" w:sz="0" w:space="0" w:color="auto"/>
                    <w:bottom w:val="none" w:sz="0" w:space="0" w:color="auto"/>
                    <w:right w:val="none" w:sz="0" w:space="0" w:color="auto"/>
                  </w:divBdr>
                  <w:divsChild>
                    <w:div w:id="1474250981">
                      <w:marLeft w:val="0"/>
                      <w:marRight w:val="0"/>
                      <w:marTop w:val="0"/>
                      <w:marBottom w:val="0"/>
                      <w:divBdr>
                        <w:top w:val="none" w:sz="0" w:space="0" w:color="auto"/>
                        <w:left w:val="none" w:sz="0" w:space="0" w:color="auto"/>
                        <w:bottom w:val="none" w:sz="0" w:space="0" w:color="auto"/>
                        <w:right w:val="none" w:sz="0" w:space="0" w:color="auto"/>
                      </w:divBdr>
                      <w:divsChild>
                        <w:div w:id="3447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671801">
      <w:bodyDiv w:val="1"/>
      <w:marLeft w:val="0"/>
      <w:marRight w:val="0"/>
      <w:marTop w:val="0"/>
      <w:marBottom w:val="0"/>
      <w:divBdr>
        <w:top w:val="none" w:sz="0" w:space="0" w:color="auto"/>
        <w:left w:val="none" w:sz="0" w:space="0" w:color="auto"/>
        <w:bottom w:val="none" w:sz="0" w:space="0" w:color="auto"/>
        <w:right w:val="none" w:sz="0" w:space="0" w:color="auto"/>
      </w:divBdr>
      <w:divsChild>
        <w:div w:id="552735576">
          <w:marLeft w:val="0"/>
          <w:marRight w:val="0"/>
          <w:marTop w:val="0"/>
          <w:marBottom w:val="0"/>
          <w:divBdr>
            <w:top w:val="none" w:sz="0" w:space="0" w:color="auto"/>
            <w:left w:val="none" w:sz="0" w:space="0" w:color="auto"/>
            <w:bottom w:val="none" w:sz="0" w:space="0" w:color="auto"/>
            <w:right w:val="none" w:sz="0" w:space="0" w:color="auto"/>
          </w:divBdr>
          <w:divsChild>
            <w:div w:id="1454058964">
              <w:marLeft w:val="0"/>
              <w:marRight w:val="0"/>
              <w:marTop w:val="0"/>
              <w:marBottom w:val="0"/>
              <w:divBdr>
                <w:top w:val="none" w:sz="0" w:space="0" w:color="auto"/>
                <w:left w:val="none" w:sz="0" w:space="0" w:color="auto"/>
                <w:bottom w:val="none" w:sz="0" w:space="0" w:color="auto"/>
                <w:right w:val="none" w:sz="0" w:space="0" w:color="auto"/>
              </w:divBdr>
              <w:divsChild>
                <w:div w:id="1117065705">
                  <w:marLeft w:val="0"/>
                  <w:marRight w:val="0"/>
                  <w:marTop w:val="0"/>
                  <w:marBottom w:val="0"/>
                  <w:divBdr>
                    <w:top w:val="none" w:sz="0" w:space="0" w:color="auto"/>
                    <w:left w:val="none" w:sz="0" w:space="0" w:color="auto"/>
                    <w:bottom w:val="none" w:sz="0" w:space="0" w:color="auto"/>
                    <w:right w:val="none" w:sz="0" w:space="0" w:color="auto"/>
                  </w:divBdr>
                  <w:divsChild>
                    <w:div w:id="784427667">
                      <w:marLeft w:val="0"/>
                      <w:marRight w:val="0"/>
                      <w:marTop w:val="0"/>
                      <w:marBottom w:val="0"/>
                      <w:divBdr>
                        <w:top w:val="none" w:sz="0" w:space="0" w:color="auto"/>
                        <w:left w:val="none" w:sz="0" w:space="0" w:color="auto"/>
                        <w:bottom w:val="none" w:sz="0" w:space="0" w:color="auto"/>
                        <w:right w:val="none" w:sz="0" w:space="0" w:color="auto"/>
                      </w:divBdr>
                      <w:divsChild>
                        <w:div w:id="6143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1150">
                  <w:marLeft w:val="0"/>
                  <w:marRight w:val="0"/>
                  <w:marTop w:val="0"/>
                  <w:marBottom w:val="0"/>
                  <w:divBdr>
                    <w:top w:val="none" w:sz="0" w:space="0" w:color="auto"/>
                    <w:left w:val="none" w:sz="0" w:space="0" w:color="auto"/>
                    <w:bottom w:val="none" w:sz="0" w:space="0" w:color="auto"/>
                    <w:right w:val="none" w:sz="0" w:space="0" w:color="auto"/>
                  </w:divBdr>
                  <w:divsChild>
                    <w:div w:id="1282958183">
                      <w:marLeft w:val="0"/>
                      <w:marRight w:val="0"/>
                      <w:marTop w:val="0"/>
                      <w:marBottom w:val="0"/>
                      <w:divBdr>
                        <w:top w:val="none" w:sz="0" w:space="0" w:color="auto"/>
                        <w:left w:val="none" w:sz="0" w:space="0" w:color="auto"/>
                        <w:bottom w:val="none" w:sz="0" w:space="0" w:color="auto"/>
                        <w:right w:val="none" w:sz="0" w:space="0" w:color="auto"/>
                      </w:divBdr>
                      <w:divsChild>
                        <w:div w:id="4022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13134">
      <w:bodyDiv w:val="1"/>
      <w:marLeft w:val="0"/>
      <w:marRight w:val="0"/>
      <w:marTop w:val="0"/>
      <w:marBottom w:val="0"/>
      <w:divBdr>
        <w:top w:val="none" w:sz="0" w:space="0" w:color="auto"/>
        <w:left w:val="none" w:sz="0" w:space="0" w:color="auto"/>
        <w:bottom w:val="none" w:sz="0" w:space="0" w:color="auto"/>
        <w:right w:val="none" w:sz="0" w:space="0" w:color="auto"/>
      </w:divBdr>
    </w:div>
    <w:div w:id="861162007">
      <w:bodyDiv w:val="1"/>
      <w:marLeft w:val="0"/>
      <w:marRight w:val="0"/>
      <w:marTop w:val="0"/>
      <w:marBottom w:val="0"/>
      <w:divBdr>
        <w:top w:val="none" w:sz="0" w:space="0" w:color="auto"/>
        <w:left w:val="none" w:sz="0" w:space="0" w:color="auto"/>
        <w:bottom w:val="none" w:sz="0" w:space="0" w:color="auto"/>
        <w:right w:val="none" w:sz="0" w:space="0" w:color="auto"/>
      </w:divBdr>
      <w:divsChild>
        <w:div w:id="932854923">
          <w:marLeft w:val="0"/>
          <w:marRight w:val="0"/>
          <w:marTop w:val="0"/>
          <w:marBottom w:val="0"/>
          <w:divBdr>
            <w:top w:val="none" w:sz="0" w:space="0" w:color="auto"/>
            <w:left w:val="none" w:sz="0" w:space="0" w:color="auto"/>
            <w:bottom w:val="none" w:sz="0" w:space="0" w:color="auto"/>
            <w:right w:val="none" w:sz="0" w:space="0" w:color="auto"/>
          </w:divBdr>
          <w:divsChild>
            <w:div w:id="1987083988">
              <w:marLeft w:val="0"/>
              <w:marRight w:val="0"/>
              <w:marTop w:val="0"/>
              <w:marBottom w:val="0"/>
              <w:divBdr>
                <w:top w:val="none" w:sz="0" w:space="0" w:color="auto"/>
                <w:left w:val="none" w:sz="0" w:space="0" w:color="auto"/>
                <w:bottom w:val="none" w:sz="0" w:space="0" w:color="auto"/>
                <w:right w:val="none" w:sz="0" w:space="0" w:color="auto"/>
              </w:divBdr>
              <w:divsChild>
                <w:div w:id="54540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29666">
      <w:bodyDiv w:val="1"/>
      <w:marLeft w:val="0"/>
      <w:marRight w:val="0"/>
      <w:marTop w:val="0"/>
      <w:marBottom w:val="0"/>
      <w:divBdr>
        <w:top w:val="none" w:sz="0" w:space="0" w:color="auto"/>
        <w:left w:val="none" w:sz="0" w:space="0" w:color="auto"/>
        <w:bottom w:val="none" w:sz="0" w:space="0" w:color="auto"/>
        <w:right w:val="none" w:sz="0" w:space="0" w:color="auto"/>
      </w:divBdr>
      <w:divsChild>
        <w:div w:id="1436171994">
          <w:marLeft w:val="0"/>
          <w:marRight w:val="0"/>
          <w:marTop w:val="0"/>
          <w:marBottom w:val="0"/>
          <w:divBdr>
            <w:top w:val="none" w:sz="0" w:space="0" w:color="auto"/>
            <w:left w:val="none" w:sz="0" w:space="0" w:color="auto"/>
            <w:bottom w:val="none" w:sz="0" w:space="0" w:color="auto"/>
            <w:right w:val="none" w:sz="0" w:space="0" w:color="auto"/>
          </w:divBdr>
          <w:divsChild>
            <w:div w:id="110979715">
              <w:marLeft w:val="0"/>
              <w:marRight w:val="0"/>
              <w:marTop w:val="0"/>
              <w:marBottom w:val="0"/>
              <w:divBdr>
                <w:top w:val="none" w:sz="0" w:space="0" w:color="auto"/>
                <w:left w:val="none" w:sz="0" w:space="0" w:color="auto"/>
                <w:bottom w:val="none" w:sz="0" w:space="0" w:color="auto"/>
                <w:right w:val="none" w:sz="0" w:space="0" w:color="auto"/>
              </w:divBdr>
              <w:divsChild>
                <w:div w:id="15730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3282">
      <w:bodyDiv w:val="1"/>
      <w:marLeft w:val="0"/>
      <w:marRight w:val="0"/>
      <w:marTop w:val="0"/>
      <w:marBottom w:val="0"/>
      <w:divBdr>
        <w:top w:val="none" w:sz="0" w:space="0" w:color="auto"/>
        <w:left w:val="none" w:sz="0" w:space="0" w:color="auto"/>
        <w:bottom w:val="none" w:sz="0" w:space="0" w:color="auto"/>
        <w:right w:val="none" w:sz="0" w:space="0" w:color="auto"/>
      </w:divBdr>
    </w:div>
    <w:div w:id="1158808568">
      <w:bodyDiv w:val="1"/>
      <w:marLeft w:val="0"/>
      <w:marRight w:val="0"/>
      <w:marTop w:val="0"/>
      <w:marBottom w:val="0"/>
      <w:divBdr>
        <w:top w:val="none" w:sz="0" w:space="0" w:color="auto"/>
        <w:left w:val="none" w:sz="0" w:space="0" w:color="auto"/>
        <w:bottom w:val="none" w:sz="0" w:space="0" w:color="auto"/>
        <w:right w:val="none" w:sz="0" w:space="0" w:color="auto"/>
      </w:divBdr>
      <w:divsChild>
        <w:div w:id="863593688">
          <w:marLeft w:val="0"/>
          <w:marRight w:val="0"/>
          <w:marTop w:val="0"/>
          <w:marBottom w:val="0"/>
          <w:divBdr>
            <w:top w:val="none" w:sz="0" w:space="0" w:color="auto"/>
            <w:left w:val="none" w:sz="0" w:space="0" w:color="auto"/>
            <w:bottom w:val="none" w:sz="0" w:space="0" w:color="auto"/>
            <w:right w:val="none" w:sz="0" w:space="0" w:color="auto"/>
          </w:divBdr>
        </w:div>
        <w:div w:id="1669749932">
          <w:marLeft w:val="0"/>
          <w:marRight w:val="0"/>
          <w:marTop w:val="0"/>
          <w:marBottom w:val="0"/>
          <w:divBdr>
            <w:top w:val="none" w:sz="0" w:space="0" w:color="auto"/>
            <w:left w:val="none" w:sz="0" w:space="0" w:color="auto"/>
            <w:bottom w:val="none" w:sz="0" w:space="0" w:color="auto"/>
            <w:right w:val="none" w:sz="0" w:space="0" w:color="auto"/>
          </w:divBdr>
        </w:div>
      </w:divsChild>
    </w:div>
    <w:div w:id="1215847110">
      <w:bodyDiv w:val="1"/>
      <w:marLeft w:val="0"/>
      <w:marRight w:val="0"/>
      <w:marTop w:val="0"/>
      <w:marBottom w:val="0"/>
      <w:divBdr>
        <w:top w:val="none" w:sz="0" w:space="0" w:color="auto"/>
        <w:left w:val="none" w:sz="0" w:space="0" w:color="auto"/>
        <w:bottom w:val="none" w:sz="0" w:space="0" w:color="auto"/>
        <w:right w:val="none" w:sz="0" w:space="0" w:color="auto"/>
      </w:divBdr>
    </w:div>
    <w:div w:id="1255170852">
      <w:bodyDiv w:val="1"/>
      <w:marLeft w:val="0"/>
      <w:marRight w:val="0"/>
      <w:marTop w:val="0"/>
      <w:marBottom w:val="0"/>
      <w:divBdr>
        <w:top w:val="none" w:sz="0" w:space="0" w:color="auto"/>
        <w:left w:val="none" w:sz="0" w:space="0" w:color="auto"/>
        <w:bottom w:val="none" w:sz="0" w:space="0" w:color="auto"/>
        <w:right w:val="none" w:sz="0" w:space="0" w:color="auto"/>
      </w:divBdr>
    </w:div>
    <w:div w:id="1265839499">
      <w:bodyDiv w:val="1"/>
      <w:marLeft w:val="0"/>
      <w:marRight w:val="0"/>
      <w:marTop w:val="0"/>
      <w:marBottom w:val="0"/>
      <w:divBdr>
        <w:top w:val="none" w:sz="0" w:space="0" w:color="auto"/>
        <w:left w:val="none" w:sz="0" w:space="0" w:color="auto"/>
        <w:bottom w:val="none" w:sz="0" w:space="0" w:color="auto"/>
        <w:right w:val="none" w:sz="0" w:space="0" w:color="auto"/>
      </w:divBdr>
    </w:div>
    <w:div w:id="1267926268">
      <w:bodyDiv w:val="1"/>
      <w:marLeft w:val="0"/>
      <w:marRight w:val="0"/>
      <w:marTop w:val="0"/>
      <w:marBottom w:val="0"/>
      <w:divBdr>
        <w:top w:val="none" w:sz="0" w:space="0" w:color="auto"/>
        <w:left w:val="none" w:sz="0" w:space="0" w:color="auto"/>
        <w:bottom w:val="none" w:sz="0" w:space="0" w:color="auto"/>
        <w:right w:val="none" w:sz="0" w:space="0" w:color="auto"/>
      </w:divBdr>
      <w:divsChild>
        <w:div w:id="154959826">
          <w:marLeft w:val="0"/>
          <w:marRight w:val="0"/>
          <w:marTop w:val="0"/>
          <w:marBottom w:val="0"/>
          <w:divBdr>
            <w:top w:val="none" w:sz="0" w:space="0" w:color="auto"/>
            <w:left w:val="none" w:sz="0" w:space="0" w:color="auto"/>
            <w:bottom w:val="none" w:sz="0" w:space="0" w:color="auto"/>
            <w:right w:val="none" w:sz="0" w:space="0" w:color="auto"/>
          </w:divBdr>
          <w:divsChild>
            <w:div w:id="1003776892">
              <w:marLeft w:val="0"/>
              <w:marRight w:val="0"/>
              <w:marTop w:val="0"/>
              <w:marBottom w:val="0"/>
              <w:divBdr>
                <w:top w:val="none" w:sz="0" w:space="0" w:color="auto"/>
                <w:left w:val="none" w:sz="0" w:space="0" w:color="auto"/>
                <w:bottom w:val="none" w:sz="0" w:space="0" w:color="auto"/>
                <w:right w:val="none" w:sz="0" w:space="0" w:color="auto"/>
              </w:divBdr>
              <w:divsChild>
                <w:div w:id="20405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9773">
      <w:bodyDiv w:val="1"/>
      <w:marLeft w:val="0"/>
      <w:marRight w:val="0"/>
      <w:marTop w:val="0"/>
      <w:marBottom w:val="0"/>
      <w:divBdr>
        <w:top w:val="none" w:sz="0" w:space="0" w:color="auto"/>
        <w:left w:val="none" w:sz="0" w:space="0" w:color="auto"/>
        <w:bottom w:val="none" w:sz="0" w:space="0" w:color="auto"/>
        <w:right w:val="none" w:sz="0" w:space="0" w:color="auto"/>
      </w:divBdr>
      <w:divsChild>
        <w:div w:id="557671730">
          <w:marLeft w:val="0"/>
          <w:marRight w:val="0"/>
          <w:marTop w:val="0"/>
          <w:marBottom w:val="0"/>
          <w:divBdr>
            <w:top w:val="none" w:sz="0" w:space="0" w:color="auto"/>
            <w:left w:val="none" w:sz="0" w:space="0" w:color="auto"/>
            <w:bottom w:val="none" w:sz="0" w:space="0" w:color="auto"/>
            <w:right w:val="none" w:sz="0" w:space="0" w:color="auto"/>
          </w:divBdr>
          <w:divsChild>
            <w:div w:id="767118172">
              <w:marLeft w:val="0"/>
              <w:marRight w:val="0"/>
              <w:marTop w:val="0"/>
              <w:marBottom w:val="0"/>
              <w:divBdr>
                <w:top w:val="none" w:sz="0" w:space="0" w:color="auto"/>
                <w:left w:val="none" w:sz="0" w:space="0" w:color="auto"/>
                <w:bottom w:val="none" w:sz="0" w:space="0" w:color="auto"/>
                <w:right w:val="none" w:sz="0" w:space="0" w:color="auto"/>
              </w:divBdr>
              <w:divsChild>
                <w:div w:id="16440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91438">
      <w:bodyDiv w:val="1"/>
      <w:marLeft w:val="0"/>
      <w:marRight w:val="0"/>
      <w:marTop w:val="0"/>
      <w:marBottom w:val="0"/>
      <w:divBdr>
        <w:top w:val="none" w:sz="0" w:space="0" w:color="auto"/>
        <w:left w:val="none" w:sz="0" w:space="0" w:color="auto"/>
        <w:bottom w:val="none" w:sz="0" w:space="0" w:color="auto"/>
        <w:right w:val="none" w:sz="0" w:space="0" w:color="auto"/>
      </w:divBdr>
      <w:divsChild>
        <w:div w:id="380206753">
          <w:marLeft w:val="0"/>
          <w:marRight w:val="0"/>
          <w:marTop w:val="0"/>
          <w:marBottom w:val="0"/>
          <w:divBdr>
            <w:top w:val="none" w:sz="0" w:space="0" w:color="auto"/>
            <w:left w:val="none" w:sz="0" w:space="0" w:color="auto"/>
            <w:bottom w:val="none" w:sz="0" w:space="0" w:color="auto"/>
            <w:right w:val="none" w:sz="0" w:space="0" w:color="auto"/>
          </w:divBdr>
        </w:div>
        <w:div w:id="393089290">
          <w:marLeft w:val="0"/>
          <w:marRight w:val="0"/>
          <w:marTop w:val="0"/>
          <w:marBottom w:val="0"/>
          <w:divBdr>
            <w:top w:val="none" w:sz="0" w:space="0" w:color="auto"/>
            <w:left w:val="none" w:sz="0" w:space="0" w:color="auto"/>
            <w:bottom w:val="none" w:sz="0" w:space="0" w:color="auto"/>
            <w:right w:val="none" w:sz="0" w:space="0" w:color="auto"/>
          </w:divBdr>
        </w:div>
        <w:div w:id="615412509">
          <w:marLeft w:val="0"/>
          <w:marRight w:val="0"/>
          <w:marTop w:val="0"/>
          <w:marBottom w:val="0"/>
          <w:divBdr>
            <w:top w:val="none" w:sz="0" w:space="0" w:color="auto"/>
            <w:left w:val="none" w:sz="0" w:space="0" w:color="auto"/>
            <w:bottom w:val="none" w:sz="0" w:space="0" w:color="auto"/>
            <w:right w:val="none" w:sz="0" w:space="0" w:color="auto"/>
          </w:divBdr>
        </w:div>
        <w:div w:id="828836030">
          <w:marLeft w:val="0"/>
          <w:marRight w:val="0"/>
          <w:marTop w:val="0"/>
          <w:marBottom w:val="0"/>
          <w:divBdr>
            <w:top w:val="none" w:sz="0" w:space="0" w:color="auto"/>
            <w:left w:val="none" w:sz="0" w:space="0" w:color="auto"/>
            <w:bottom w:val="none" w:sz="0" w:space="0" w:color="auto"/>
            <w:right w:val="none" w:sz="0" w:space="0" w:color="auto"/>
          </w:divBdr>
        </w:div>
        <w:div w:id="914432063">
          <w:marLeft w:val="0"/>
          <w:marRight w:val="0"/>
          <w:marTop w:val="0"/>
          <w:marBottom w:val="0"/>
          <w:divBdr>
            <w:top w:val="none" w:sz="0" w:space="0" w:color="auto"/>
            <w:left w:val="none" w:sz="0" w:space="0" w:color="auto"/>
            <w:bottom w:val="none" w:sz="0" w:space="0" w:color="auto"/>
            <w:right w:val="none" w:sz="0" w:space="0" w:color="auto"/>
          </w:divBdr>
        </w:div>
        <w:div w:id="1032808369">
          <w:marLeft w:val="0"/>
          <w:marRight w:val="0"/>
          <w:marTop w:val="0"/>
          <w:marBottom w:val="0"/>
          <w:divBdr>
            <w:top w:val="none" w:sz="0" w:space="0" w:color="auto"/>
            <w:left w:val="none" w:sz="0" w:space="0" w:color="auto"/>
            <w:bottom w:val="none" w:sz="0" w:space="0" w:color="auto"/>
            <w:right w:val="none" w:sz="0" w:space="0" w:color="auto"/>
          </w:divBdr>
        </w:div>
        <w:div w:id="1456563776">
          <w:marLeft w:val="0"/>
          <w:marRight w:val="0"/>
          <w:marTop w:val="0"/>
          <w:marBottom w:val="0"/>
          <w:divBdr>
            <w:top w:val="none" w:sz="0" w:space="0" w:color="auto"/>
            <w:left w:val="none" w:sz="0" w:space="0" w:color="auto"/>
            <w:bottom w:val="none" w:sz="0" w:space="0" w:color="auto"/>
            <w:right w:val="none" w:sz="0" w:space="0" w:color="auto"/>
          </w:divBdr>
        </w:div>
        <w:div w:id="1493794029">
          <w:marLeft w:val="0"/>
          <w:marRight w:val="0"/>
          <w:marTop w:val="0"/>
          <w:marBottom w:val="0"/>
          <w:divBdr>
            <w:top w:val="none" w:sz="0" w:space="0" w:color="auto"/>
            <w:left w:val="none" w:sz="0" w:space="0" w:color="auto"/>
            <w:bottom w:val="none" w:sz="0" w:space="0" w:color="auto"/>
            <w:right w:val="none" w:sz="0" w:space="0" w:color="auto"/>
          </w:divBdr>
        </w:div>
        <w:div w:id="1662194321">
          <w:marLeft w:val="0"/>
          <w:marRight w:val="0"/>
          <w:marTop w:val="0"/>
          <w:marBottom w:val="0"/>
          <w:divBdr>
            <w:top w:val="none" w:sz="0" w:space="0" w:color="auto"/>
            <w:left w:val="none" w:sz="0" w:space="0" w:color="auto"/>
            <w:bottom w:val="none" w:sz="0" w:space="0" w:color="auto"/>
            <w:right w:val="none" w:sz="0" w:space="0" w:color="auto"/>
          </w:divBdr>
        </w:div>
      </w:divsChild>
    </w:div>
    <w:div w:id="1309555495">
      <w:bodyDiv w:val="1"/>
      <w:marLeft w:val="0"/>
      <w:marRight w:val="0"/>
      <w:marTop w:val="0"/>
      <w:marBottom w:val="0"/>
      <w:divBdr>
        <w:top w:val="none" w:sz="0" w:space="0" w:color="auto"/>
        <w:left w:val="none" w:sz="0" w:space="0" w:color="auto"/>
        <w:bottom w:val="none" w:sz="0" w:space="0" w:color="auto"/>
        <w:right w:val="none" w:sz="0" w:space="0" w:color="auto"/>
      </w:divBdr>
      <w:divsChild>
        <w:div w:id="466168507">
          <w:marLeft w:val="0"/>
          <w:marRight w:val="0"/>
          <w:marTop w:val="0"/>
          <w:marBottom w:val="0"/>
          <w:divBdr>
            <w:top w:val="none" w:sz="0" w:space="0" w:color="auto"/>
            <w:left w:val="none" w:sz="0" w:space="0" w:color="auto"/>
            <w:bottom w:val="none" w:sz="0" w:space="0" w:color="auto"/>
            <w:right w:val="none" w:sz="0" w:space="0" w:color="auto"/>
          </w:divBdr>
          <w:divsChild>
            <w:div w:id="630408284">
              <w:marLeft w:val="0"/>
              <w:marRight w:val="0"/>
              <w:marTop w:val="0"/>
              <w:marBottom w:val="0"/>
              <w:divBdr>
                <w:top w:val="none" w:sz="0" w:space="0" w:color="auto"/>
                <w:left w:val="none" w:sz="0" w:space="0" w:color="auto"/>
                <w:bottom w:val="none" w:sz="0" w:space="0" w:color="auto"/>
                <w:right w:val="none" w:sz="0" w:space="0" w:color="auto"/>
              </w:divBdr>
              <w:divsChild>
                <w:div w:id="58406753">
                  <w:marLeft w:val="0"/>
                  <w:marRight w:val="0"/>
                  <w:marTop w:val="0"/>
                  <w:marBottom w:val="0"/>
                  <w:divBdr>
                    <w:top w:val="none" w:sz="0" w:space="0" w:color="auto"/>
                    <w:left w:val="none" w:sz="0" w:space="0" w:color="auto"/>
                    <w:bottom w:val="none" w:sz="0" w:space="0" w:color="auto"/>
                    <w:right w:val="none" w:sz="0" w:space="0" w:color="auto"/>
                  </w:divBdr>
                  <w:divsChild>
                    <w:div w:id="663125584">
                      <w:marLeft w:val="0"/>
                      <w:marRight w:val="0"/>
                      <w:marTop w:val="0"/>
                      <w:marBottom w:val="0"/>
                      <w:divBdr>
                        <w:top w:val="none" w:sz="0" w:space="0" w:color="auto"/>
                        <w:left w:val="none" w:sz="0" w:space="0" w:color="auto"/>
                        <w:bottom w:val="none" w:sz="0" w:space="0" w:color="auto"/>
                        <w:right w:val="none" w:sz="0" w:space="0" w:color="auto"/>
                      </w:divBdr>
                      <w:divsChild>
                        <w:div w:id="8530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200">
                  <w:marLeft w:val="0"/>
                  <w:marRight w:val="0"/>
                  <w:marTop w:val="0"/>
                  <w:marBottom w:val="0"/>
                  <w:divBdr>
                    <w:top w:val="none" w:sz="0" w:space="0" w:color="auto"/>
                    <w:left w:val="none" w:sz="0" w:space="0" w:color="auto"/>
                    <w:bottom w:val="none" w:sz="0" w:space="0" w:color="auto"/>
                    <w:right w:val="none" w:sz="0" w:space="0" w:color="auto"/>
                  </w:divBdr>
                  <w:divsChild>
                    <w:div w:id="1176848629">
                      <w:marLeft w:val="0"/>
                      <w:marRight w:val="0"/>
                      <w:marTop w:val="0"/>
                      <w:marBottom w:val="0"/>
                      <w:divBdr>
                        <w:top w:val="none" w:sz="0" w:space="0" w:color="auto"/>
                        <w:left w:val="none" w:sz="0" w:space="0" w:color="auto"/>
                        <w:bottom w:val="none" w:sz="0" w:space="0" w:color="auto"/>
                        <w:right w:val="none" w:sz="0" w:space="0" w:color="auto"/>
                      </w:divBdr>
                      <w:divsChild>
                        <w:div w:id="58792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39601">
      <w:bodyDiv w:val="1"/>
      <w:marLeft w:val="0"/>
      <w:marRight w:val="0"/>
      <w:marTop w:val="0"/>
      <w:marBottom w:val="0"/>
      <w:divBdr>
        <w:top w:val="none" w:sz="0" w:space="0" w:color="auto"/>
        <w:left w:val="none" w:sz="0" w:space="0" w:color="auto"/>
        <w:bottom w:val="none" w:sz="0" w:space="0" w:color="auto"/>
        <w:right w:val="none" w:sz="0" w:space="0" w:color="auto"/>
      </w:divBdr>
    </w:div>
    <w:div w:id="1346203314">
      <w:bodyDiv w:val="1"/>
      <w:marLeft w:val="0"/>
      <w:marRight w:val="0"/>
      <w:marTop w:val="0"/>
      <w:marBottom w:val="0"/>
      <w:divBdr>
        <w:top w:val="none" w:sz="0" w:space="0" w:color="auto"/>
        <w:left w:val="none" w:sz="0" w:space="0" w:color="auto"/>
        <w:bottom w:val="none" w:sz="0" w:space="0" w:color="auto"/>
        <w:right w:val="none" w:sz="0" w:space="0" w:color="auto"/>
      </w:divBdr>
    </w:div>
    <w:div w:id="1355224851">
      <w:bodyDiv w:val="1"/>
      <w:marLeft w:val="0"/>
      <w:marRight w:val="0"/>
      <w:marTop w:val="0"/>
      <w:marBottom w:val="0"/>
      <w:divBdr>
        <w:top w:val="none" w:sz="0" w:space="0" w:color="auto"/>
        <w:left w:val="none" w:sz="0" w:space="0" w:color="auto"/>
        <w:bottom w:val="none" w:sz="0" w:space="0" w:color="auto"/>
        <w:right w:val="none" w:sz="0" w:space="0" w:color="auto"/>
      </w:divBdr>
    </w:div>
    <w:div w:id="1392071157">
      <w:bodyDiv w:val="1"/>
      <w:marLeft w:val="0"/>
      <w:marRight w:val="0"/>
      <w:marTop w:val="0"/>
      <w:marBottom w:val="0"/>
      <w:divBdr>
        <w:top w:val="none" w:sz="0" w:space="0" w:color="auto"/>
        <w:left w:val="none" w:sz="0" w:space="0" w:color="auto"/>
        <w:bottom w:val="none" w:sz="0" w:space="0" w:color="auto"/>
        <w:right w:val="none" w:sz="0" w:space="0" w:color="auto"/>
      </w:divBdr>
    </w:div>
    <w:div w:id="1451431790">
      <w:bodyDiv w:val="1"/>
      <w:marLeft w:val="0"/>
      <w:marRight w:val="0"/>
      <w:marTop w:val="0"/>
      <w:marBottom w:val="0"/>
      <w:divBdr>
        <w:top w:val="none" w:sz="0" w:space="0" w:color="auto"/>
        <w:left w:val="none" w:sz="0" w:space="0" w:color="auto"/>
        <w:bottom w:val="none" w:sz="0" w:space="0" w:color="auto"/>
        <w:right w:val="none" w:sz="0" w:space="0" w:color="auto"/>
      </w:divBdr>
      <w:divsChild>
        <w:div w:id="1619141657">
          <w:marLeft w:val="0"/>
          <w:marRight w:val="0"/>
          <w:marTop w:val="0"/>
          <w:marBottom w:val="0"/>
          <w:divBdr>
            <w:top w:val="none" w:sz="0" w:space="0" w:color="auto"/>
            <w:left w:val="none" w:sz="0" w:space="0" w:color="auto"/>
            <w:bottom w:val="none" w:sz="0" w:space="0" w:color="auto"/>
            <w:right w:val="none" w:sz="0" w:space="0" w:color="auto"/>
          </w:divBdr>
          <w:divsChild>
            <w:div w:id="1928463052">
              <w:marLeft w:val="0"/>
              <w:marRight w:val="0"/>
              <w:marTop w:val="0"/>
              <w:marBottom w:val="0"/>
              <w:divBdr>
                <w:top w:val="none" w:sz="0" w:space="0" w:color="auto"/>
                <w:left w:val="none" w:sz="0" w:space="0" w:color="auto"/>
                <w:bottom w:val="none" w:sz="0" w:space="0" w:color="auto"/>
                <w:right w:val="none" w:sz="0" w:space="0" w:color="auto"/>
              </w:divBdr>
              <w:divsChild>
                <w:div w:id="1300458989">
                  <w:marLeft w:val="0"/>
                  <w:marRight w:val="0"/>
                  <w:marTop w:val="0"/>
                  <w:marBottom w:val="0"/>
                  <w:divBdr>
                    <w:top w:val="none" w:sz="0" w:space="0" w:color="auto"/>
                    <w:left w:val="none" w:sz="0" w:space="0" w:color="auto"/>
                    <w:bottom w:val="none" w:sz="0" w:space="0" w:color="auto"/>
                    <w:right w:val="none" w:sz="0" w:space="0" w:color="auto"/>
                  </w:divBdr>
                  <w:divsChild>
                    <w:div w:id="899943607">
                      <w:marLeft w:val="0"/>
                      <w:marRight w:val="0"/>
                      <w:marTop w:val="0"/>
                      <w:marBottom w:val="0"/>
                      <w:divBdr>
                        <w:top w:val="none" w:sz="0" w:space="0" w:color="auto"/>
                        <w:left w:val="none" w:sz="0" w:space="0" w:color="auto"/>
                        <w:bottom w:val="none" w:sz="0" w:space="0" w:color="auto"/>
                        <w:right w:val="none" w:sz="0" w:space="0" w:color="auto"/>
                      </w:divBdr>
                      <w:divsChild>
                        <w:div w:id="16265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9763">
                  <w:marLeft w:val="0"/>
                  <w:marRight w:val="0"/>
                  <w:marTop w:val="0"/>
                  <w:marBottom w:val="0"/>
                  <w:divBdr>
                    <w:top w:val="none" w:sz="0" w:space="0" w:color="auto"/>
                    <w:left w:val="none" w:sz="0" w:space="0" w:color="auto"/>
                    <w:bottom w:val="none" w:sz="0" w:space="0" w:color="auto"/>
                    <w:right w:val="none" w:sz="0" w:space="0" w:color="auto"/>
                  </w:divBdr>
                  <w:divsChild>
                    <w:div w:id="19399061">
                      <w:marLeft w:val="0"/>
                      <w:marRight w:val="0"/>
                      <w:marTop w:val="0"/>
                      <w:marBottom w:val="0"/>
                      <w:divBdr>
                        <w:top w:val="none" w:sz="0" w:space="0" w:color="auto"/>
                        <w:left w:val="none" w:sz="0" w:space="0" w:color="auto"/>
                        <w:bottom w:val="none" w:sz="0" w:space="0" w:color="auto"/>
                        <w:right w:val="none" w:sz="0" w:space="0" w:color="auto"/>
                      </w:divBdr>
                      <w:divsChild>
                        <w:div w:id="11132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432003">
              <w:marLeft w:val="0"/>
              <w:marRight w:val="0"/>
              <w:marTop w:val="0"/>
              <w:marBottom w:val="0"/>
              <w:divBdr>
                <w:top w:val="none" w:sz="0" w:space="0" w:color="auto"/>
                <w:left w:val="none" w:sz="0" w:space="0" w:color="auto"/>
                <w:bottom w:val="none" w:sz="0" w:space="0" w:color="auto"/>
                <w:right w:val="none" w:sz="0" w:space="0" w:color="auto"/>
              </w:divBdr>
              <w:divsChild>
                <w:div w:id="533269447">
                  <w:marLeft w:val="0"/>
                  <w:marRight w:val="0"/>
                  <w:marTop w:val="0"/>
                  <w:marBottom w:val="0"/>
                  <w:divBdr>
                    <w:top w:val="none" w:sz="0" w:space="0" w:color="auto"/>
                    <w:left w:val="none" w:sz="0" w:space="0" w:color="auto"/>
                    <w:bottom w:val="none" w:sz="0" w:space="0" w:color="auto"/>
                    <w:right w:val="none" w:sz="0" w:space="0" w:color="auto"/>
                  </w:divBdr>
                  <w:divsChild>
                    <w:div w:id="320014057">
                      <w:marLeft w:val="0"/>
                      <w:marRight w:val="0"/>
                      <w:marTop w:val="0"/>
                      <w:marBottom w:val="0"/>
                      <w:divBdr>
                        <w:top w:val="none" w:sz="0" w:space="0" w:color="auto"/>
                        <w:left w:val="none" w:sz="0" w:space="0" w:color="auto"/>
                        <w:bottom w:val="none" w:sz="0" w:space="0" w:color="auto"/>
                        <w:right w:val="none" w:sz="0" w:space="0" w:color="auto"/>
                      </w:divBdr>
                      <w:divsChild>
                        <w:div w:id="16429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8912">
                  <w:marLeft w:val="0"/>
                  <w:marRight w:val="0"/>
                  <w:marTop w:val="0"/>
                  <w:marBottom w:val="0"/>
                  <w:divBdr>
                    <w:top w:val="none" w:sz="0" w:space="0" w:color="auto"/>
                    <w:left w:val="none" w:sz="0" w:space="0" w:color="auto"/>
                    <w:bottom w:val="none" w:sz="0" w:space="0" w:color="auto"/>
                    <w:right w:val="none" w:sz="0" w:space="0" w:color="auto"/>
                  </w:divBdr>
                  <w:divsChild>
                    <w:div w:id="1315986786">
                      <w:marLeft w:val="0"/>
                      <w:marRight w:val="0"/>
                      <w:marTop w:val="0"/>
                      <w:marBottom w:val="0"/>
                      <w:divBdr>
                        <w:top w:val="none" w:sz="0" w:space="0" w:color="auto"/>
                        <w:left w:val="none" w:sz="0" w:space="0" w:color="auto"/>
                        <w:bottom w:val="none" w:sz="0" w:space="0" w:color="auto"/>
                        <w:right w:val="none" w:sz="0" w:space="0" w:color="auto"/>
                      </w:divBdr>
                      <w:divsChild>
                        <w:div w:id="147934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971428">
      <w:bodyDiv w:val="1"/>
      <w:marLeft w:val="0"/>
      <w:marRight w:val="0"/>
      <w:marTop w:val="0"/>
      <w:marBottom w:val="0"/>
      <w:divBdr>
        <w:top w:val="none" w:sz="0" w:space="0" w:color="auto"/>
        <w:left w:val="none" w:sz="0" w:space="0" w:color="auto"/>
        <w:bottom w:val="none" w:sz="0" w:space="0" w:color="auto"/>
        <w:right w:val="none" w:sz="0" w:space="0" w:color="auto"/>
      </w:divBdr>
      <w:divsChild>
        <w:div w:id="505561352">
          <w:marLeft w:val="0"/>
          <w:marRight w:val="0"/>
          <w:marTop w:val="0"/>
          <w:marBottom w:val="0"/>
          <w:divBdr>
            <w:top w:val="none" w:sz="0" w:space="0" w:color="auto"/>
            <w:left w:val="none" w:sz="0" w:space="0" w:color="auto"/>
            <w:bottom w:val="none" w:sz="0" w:space="0" w:color="auto"/>
            <w:right w:val="none" w:sz="0" w:space="0" w:color="auto"/>
          </w:divBdr>
          <w:divsChild>
            <w:div w:id="1546868813">
              <w:marLeft w:val="0"/>
              <w:marRight w:val="0"/>
              <w:marTop w:val="0"/>
              <w:marBottom w:val="0"/>
              <w:divBdr>
                <w:top w:val="none" w:sz="0" w:space="0" w:color="auto"/>
                <w:left w:val="none" w:sz="0" w:space="0" w:color="auto"/>
                <w:bottom w:val="none" w:sz="0" w:space="0" w:color="auto"/>
                <w:right w:val="none" w:sz="0" w:space="0" w:color="auto"/>
              </w:divBdr>
              <w:divsChild>
                <w:div w:id="532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3843">
      <w:bodyDiv w:val="1"/>
      <w:marLeft w:val="0"/>
      <w:marRight w:val="0"/>
      <w:marTop w:val="0"/>
      <w:marBottom w:val="0"/>
      <w:divBdr>
        <w:top w:val="none" w:sz="0" w:space="0" w:color="auto"/>
        <w:left w:val="none" w:sz="0" w:space="0" w:color="auto"/>
        <w:bottom w:val="none" w:sz="0" w:space="0" w:color="auto"/>
        <w:right w:val="none" w:sz="0" w:space="0" w:color="auto"/>
      </w:divBdr>
      <w:divsChild>
        <w:div w:id="479227191">
          <w:marLeft w:val="0"/>
          <w:marRight w:val="0"/>
          <w:marTop w:val="0"/>
          <w:marBottom w:val="0"/>
          <w:divBdr>
            <w:top w:val="none" w:sz="0" w:space="0" w:color="auto"/>
            <w:left w:val="none" w:sz="0" w:space="0" w:color="auto"/>
            <w:bottom w:val="none" w:sz="0" w:space="0" w:color="auto"/>
            <w:right w:val="none" w:sz="0" w:space="0" w:color="auto"/>
          </w:divBdr>
        </w:div>
        <w:div w:id="2118787988">
          <w:marLeft w:val="0"/>
          <w:marRight w:val="0"/>
          <w:marTop w:val="0"/>
          <w:marBottom w:val="0"/>
          <w:divBdr>
            <w:top w:val="none" w:sz="0" w:space="0" w:color="auto"/>
            <w:left w:val="none" w:sz="0" w:space="0" w:color="auto"/>
            <w:bottom w:val="none" w:sz="0" w:space="0" w:color="auto"/>
            <w:right w:val="none" w:sz="0" w:space="0" w:color="auto"/>
          </w:divBdr>
        </w:div>
      </w:divsChild>
    </w:div>
    <w:div w:id="2022585208">
      <w:bodyDiv w:val="1"/>
      <w:marLeft w:val="0"/>
      <w:marRight w:val="0"/>
      <w:marTop w:val="0"/>
      <w:marBottom w:val="0"/>
      <w:divBdr>
        <w:top w:val="none" w:sz="0" w:space="0" w:color="auto"/>
        <w:left w:val="none" w:sz="0" w:space="0" w:color="auto"/>
        <w:bottom w:val="none" w:sz="0" w:space="0" w:color="auto"/>
        <w:right w:val="none" w:sz="0" w:space="0" w:color="auto"/>
      </w:divBdr>
      <w:divsChild>
        <w:div w:id="1396508008">
          <w:marLeft w:val="0"/>
          <w:marRight w:val="0"/>
          <w:marTop w:val="0"/>
          <w:marBottom w:val="0"/>
          <w:divBdr>
            <w:top w:val="none" w:sz="0" w:space="0" w:color="auto"/>
            <w:left w:val="none" w:sz="0" w:space="0" w:color="auto"/>
            <w:bottom w:val="none" w:sz="0" w:space="0" w:color="auto"/>
            <w:right w:val="none" w:sz="0" w:space="0" w:color="auto"/>
          </w:divBdr>
        </w:div>
      </w:divsChild>
    </w:div>
    <w:div w:id="2078672957">
      <w:bodyDiv w:val="1"/>
      <w:marLeft w:val="0"/>
      <w:marRight w:val="0"/>
      <w:marTop w:val="0"/>
      <w:marBottom w:val="0"/>
      <w:divBdr>
        <w:top w:val="none" w:sz="0" w:space="0" w:color="auto"/>
        <w:left w:val="none" w:sz="0" w:space="0" w:color="auto"/>
        <w:bottom w:val="none" w:sz="0" w:space="0" w:color="auto"/>
        <w:right w:val="none" w:sz="0" w:space="0" w:color="auto"/>
      </w:divBdr>
      <w:divsChild>
        <w:div w:id="1028869986">
          <w:marLeft w:val="0"/>
          <w:marRight w:val="0"/>
          <w:marTop w:val="0"/>
          <w:marBottom w:val="0"/>
          <w:divBdr>
            <w:top w:val="none" w:sz="0" w:space="0" w:color="auto"/>
            <w:left w:val="none" w:sz="0" w:space="0" w:color="auto"/>
            <w:bottom w:val="none" w:sz="0" w:space="0" w:color="auto"/>
            <w:right w:val="none" w:sz="0" w:space="0" w:color="auto"/>
          </w:divBdr>
          <w:divsChild>
            <w:div w:id="488252704">
              <w:marLeft w:val="0"/>
              <w:marRight w:val="0"/>
              <w:marTop w:val="0"/>
              <w:marBottom w:val="0"/>
              <w:divBdr>
                <w:top w:val="none" w:sz="0" w:space="0" w:color="auto"/>
                <w:left w:val="none" w:sz="0" w:space="0" w:color="auto"/>
                <w:bottom w:val="none" w:sz="0" w:space="0" w:color="auto"/>
                <w:right w:val="none" w:sz="0" w:space="0" w:color="auto"/>
              </w:divBdr>
              <w:divsChild>
                <w:div w:id="7300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teconstitucional.gov.co/relatoria/2005/C-1192-0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teconstitucional.gov.co/relatoria/2012/C-889-12.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vatma.org/2016/03/08/informe-tecnico-veterinario-sobre-los-espectaculos-taurinos-con-vacas-y-vaquill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EDD23-3556-426E-97D8-F5459BF3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12860</Words>
  <Characters>70736</Characters>
  <Application>Microsoft Office Word</Application>
  <DocSecurity>0</DocSecurity>
  <Lines>589</Lines>
  <Paragraphs>166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STEFANY</dc:creator>
  <cp:lastModifiedBy>Daniel Lopez</cp:lastModifiedBy>
  <cp:revision>8</cp:revision>
  <cp:lastPrinted>2017-08-23T16:23:00Z</cp:lastPrinted>
  <dcterms:created xsi:type="dcterms:W3CDTF">2020-09-30T15:45:00Z</dcterms:created>
  <dcterms:modified xsi:type="dcterms:W3CDTF">2020-10-05T21:21:00Z</dcterms:modified>
</cp:coreProperties>
</file>